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5A767" w14:textId="77777777" w:rsidR="000D18B4" w:rsidRDefault="000D18B4" w:rsidP="000D18B4">
      <w:pPr>
        <w:jc w:val="center"/>
        <w:rPr>
          <w:color w:val="0070C0"/>
          <w:sz w:val="48"/>
          <w:szCs w:val="48"/>
        </w:rPr>
      </w:pPr>
      <w:bookmarkStart w:id="0" w:name="_GoBack"/>
      <w:bookmarkEnd w:id="0"/>
    </w:p>
    <w:p w14:paraId="6D03F1DB" w14:textId="77777777" w:rsidR="000D18B4" w:rsidRDefault="000D18B4" w:rsidP="000D18B4">
      <w:pPr>
        <w:jc w:val="center"/>
        <w:rPr>
          <w:color w:val="0070C0"/>
          <w:sz w:val="48"/>
          <w:szCs w:val="48"/>
        </w:rPr>
      </w:pPr>
    </w:p>
    <w:p w14:paraId="4B625DC9" w14:textId="77777777" w:rsidR="000D18B4" w:rsidRDefault="000D18B4" w:rsidP="000D18B4">
      <w:pPr>
        <w:jc w:val="center"/>
        <w:rPr>
          <w:color w:val="0070C0"/>
          <w:sz w:val="48"/>
          <w:szCs w:val="48"/>
        </w:rPr>
      </w:pPr>
    </w:p>
    <w:p w14:paraId="17B4D258" w14:textId="77777777" w:rsidR="000D18B4" w:rsidRDefault="000D18B4" w:rsidP="000D18B4">
      <w:pPr>
        <w:jc w:val="center"/>
        <w:rPr>
          <w:color w:val="0070C0"/>
          <w:sz w:val="48"/>
          <w:szCs w:val="48"/>
        </w:rPr>
      </w:pPr>
    </w:p>
    <w:p w14:paraId="0EF64A25" w14:textId="733B1CDA" w:rsidR="000D18B4" w:rsidRPr="009D0764" w:rsidRDefault="000D18B4" w:rsidP="000D18B4">
      <w:pPr>
        <w:jc w:val="center"/>
        <w:rPr>
          <w:color w:val="000000" w:themeColor="text1"/>
          <w:sz w:val="48"/>
          <w:szCs w:val="48"/>
        </w:rPr>
      </w:pPr>
      <w:r w:rsidRPr="009D0764">
        <w:rPr>
          <w:color w:val="000000" w:themeColor="text1"/>
          <w:sz w:val="48"/>
          <w:szCs w:val="48"/>
        </w:rPr>
        <w:t xml:space="preserve">Residential Transition for </w:t>
      </w:r>
      <w:r w:rsidR="009D0764" w:rsidRPr="009D0764">
        <w:rPr>
          <w:color w:val="000000" w:themeColor="text1"/>
          <w:sz w:val="48"/>
          <w:szCs w:val="48"/>
        </w:rPr>
        <w:t>Older</w:t>
      </w:r>
      <w:r w:rsidRPr="009D0764">
        <w:rPr>
          <w:color w:val="000000" w:themeColor="text1"/>
          <w:sz w:val="48"/>
          <w:szCs w:val="48"/>
        </w:rPr>
        <w:t xml:space="preserve"> Queenslanders</w:t>
      </w:r>
    </w:p>
    <w:p w14:paraId="19872E8F" w14:textId="77777777" w:rsidR="000D18B4" w:rsidRPr="009D0764" w:rsidRDefault="000D18B4" w:rsidP="000D18B4">
      <w:pPr>
        <w:jc w:val="center"/>
        <w:rPr>
          <w:color w:val="000000" w:themeColor="text1"/>
          <w:sz w:val="48"/>
          <w:szCs w:val="48"/>
        </w:rPr>
      </w:pPr>
    </w:p>
    <w:p w14:paraId="7211D181" w14:textId="77777777" w:rsidR="000D18B4" w:rsidRPr="009D0764" w:rsidRDefault="000D18B4" w:rsidP="000D18B4">
      <w:pPr>
        <w:jc w:val="center"/>
        <w:rPr>
          <w:color w:val="000000" w:themeColor="text1"/>
          <w:sz w:val="48"/>
          <w:szCs w:val="48"/>
        </w:rPr>
      </w:pPr>
    </w:p>
    <w:p w14:paraId="657A7D2B" w14:textId="77777777" w:rsidR="000D18B4" w:rsidRDefault="000D18B4" w:rsidP="000D18B4">
      <w:pPr>
        <w:jc w:val="center"/>
        <w:rPr>
          <w:color w:val="000000" w:themeColor="text1"/>
          <w:sz w:val="48"/>
          <w:szCs w:val="48"/>
        </w:rPr>
      </w:pPr>
      <w:r w:rsidRPr="009D0764">
        <w:rPr>
          <w:color w:val="000000" w:themeColor="text1"/>
          <w:sz w:val="48"/>
          <w:szCs w:val="48"/>
        </w:rPr>
        <w:t>August 2016</w:t>
      </w:r>
    </w:p>
    <w:p w14:paraId="1BFA5519" w14:textId="77777777" w:rsidR="009D0764" w:rsidRPr="009D0764" w:rsidRDefault="009D0764" w:rsidP="000D18B4">
      <w:pPr>
        <w:jc w:val="center"/>
        <w:rPr>
          <w:color w:val="000000" w:themeColor="text1"/>
          <w:sz w:val="48"/>
          <w:szCs w:val="48"/>
        </w:rPr>
      </w:pPr>
    </w:p>
    <w:p w14:paraId="3DCED500" w14:textId="2DCD9771" w:rsidR="009D0764" w:rsidRPr="009D0764" w:rsidRDefault="009D0764" w:rsidP="000D18B4">
      <w:pPr>
        <w:jc w:val="center"/>
        <w:rPr>
          <w:color w:val="000000" w:themeColor="text1"/>
          <w:sz w:val="40"/>
          <w:szCs w:val="40"/>
        </w:rPr>
      </w:pPr>
      <w:r w:rsidRPr="009D0764">
        <w:rPr>
          <w:color w:val="000000" w:themeColor="text1"/>
          <w:sz w:val="40"/>
          <w:szCs w:val="40"/>
        </w:rPr>
        <w:t>Final report of the Advisory Taskforce on Residential Transition for Ageing Queenslanders</w:t>
      </w:r>
    </w:p>
    <w:p w14:paraId="2720B895" w14:textId="77777777" w:rsidR="000D18B4" w:rsidRPr="004C1AE3" w:rsidRDefault="000D18B4" w:rsidP="000D18B4">
      <w:pPr>
        <w:jc w:val="center"/>
        <w:rPr>
          <w:color w:val="0070C0"/>
          <w:sz w:val="48"/>
          <w:szCs w:val="48"/>
        </w:rPr>
      </w:pPr>
    </w:p>
    <w:p w14:paraId="2D55FD6D" w14:textId="77777777" w:rsidR="000D18B4" w:rsidRDefault="000D18B4" w:rsidP="000D18B4">
      <w:pPr>
        <w:jc w:val="center"/>
        <w:rPr>
          <w:color w:val="0070C0"/>
          <w:sz w:val="48"/>
          <w:szCs w:val="48"/>
        </w:rPr>
      </w:pPr>
    </w:p>
    <w:p w14:paraId="56E81B82" w14:textId="77777777" w:rsidR="000D18B4" w:rsidRDefault="000D18B4" w:rsidP="000D18B4">
      <w:pPr>
        <w:jc w:val="center"/>
        <w:rPr>
          <w:color w:val="0070C0"/>
          <w:sz w:val="48"/>
          <w:szCs w:val="48"/>
        </w:rPr>
      </w:pPr>
    </w:p>
    <w:p w14:paraId="21742D0F" w14:textId="77777777" w:rsidR="000D18B4" w:rsidRDefault="000D18B4" w:rsidP="000D18B4">
      <w:pPr>
        <w:jc w:val="center"/>
      </w:pPr>
      <w:r>
        <w:br w:type="page"/>
      </w:r>
    </w:p>
    <w:p w14:paraId="00F16255" w14:textId="77777777" w:rsidR="000D18B4" w:rsidRDefault="000D18B4" w:rsidP="000D18B4">
      <w:pPr>
        <w:jc w:val="center"/>
      </w:pPr>
    </w:p>
    <w:p w14:paraId="61623029" w14:textId="77777777" w:rsidR="00D02B00" w:rsidRDefault="00D02B00" w:rsidP="000D18B4">
      <w:pPr>
        <w:jc w:val="center"/>
      </w:pPr>
    </w:p>
    <w:sdt>
      <w:sdtPr>
        <w:rPr>
          <w:rFonts w:asciiTheme="minorHAnsi" w:eastAsiaTheme="minorHAnsi" w:hAnsiTheme="minorHAnsi" w:cstheme="minorBidi"/>
          <w:color w:val="auto"/>
          <w:sz w:val="22"/>
          <w:szCs w:val="22"/>
          <w:lang w:val="en-AU"/>
        </w:rPr>
        <w:id w:val="1186634181"/>
        <w:docPartObj>
          <w:docPartGallery w:val="Table of Contents"/>
          <w:docPartUnique/>
        </w:docPartObj>
      </w:sdtPr>
      <w:sdtEndPr>
        <w:rPr>
          <w:b/>
          <w:bCs/>
          <w:noProof/>
        </w:rPr>
      </w:sdtEndPr>
      <w:sdtContent>
        <w:p w14:paraId="387DD45B" w14:textId="77777777" w:rsidR="000D18B4" w:rsidRDefault="000D18B4" w:rsidP="000D18B4">
          <w:pPr>
            <w:pStyle w:val="TOCHeading"/>
          </w:pPr>
          <w:r>
            <w:t>Contents</w:t>
          </w:r>
        </w:p>
        <w:p w14:paraId="1CD7B9C9" w14:textId="77777777" w:rsidR="00111753" w:rsidRDefault="000D18B4">
          <w:pPr>
            <w:pStyle w:val="TOC1"/>
            <w:tabs>
              <w:tab w:val="right" w:leader="dot" w:pos="9322"/>
            </w:tabs>
            <w:rPr>
              <w:rFonts w:eastAsiaTheme="minorEastAsia"/>
              <w:noProof/>
              <w:lang w:eastAsia="en-AU"/>
            </w:rPr>
          </w:pPr>
          <w:r>
            <w:fldChar w:fldCharType="begin"/>
          </w:r>
          <w:r>
            <w:instrText xml:space="preserve"> TOC \o "1-1" \h \z \t "Heading 2,2,Heading 3,3" </w:instrText>
          </w:r>
          <w:r>
            <w:fldChar w:fldCharType="separate"/>
          </w:r>
          <w:hyperlink w:anchor="_Toc460257461" w:history="1">
            <w:r w:rsidR="00111753" w:rsidRPr="001D191A">
              <w:rPr>
                <w:rStyle w:val="Hyperlink"/>
                <w:noProof/>
              </w:rPr>
              <w:t>FOREWORD BY CHAIR OF THE TASKFORCE</w:t>
            </w:r>
            <w:r w:rsidR="00111753">
              <w:rPr>
                <w:noProof/>
                <w:webHidden/>
              </w:rPr>
              <w:tab/>
            </w:r>
            <w:r w:rsidR="00111753">
              <w:rPr>
                <w:noProof/>
                <w:webHidden/>
              </w:rPr>
              <w:fldChar w:fldCharType="begin"/>
            </w:r>
            <w:r w:rsidR="00111753">
              <w:rPr>
                <w:noProof/>
                <w:webHidden/>
              </w:rPr>
              <w:instrText xml:space="preserve"> PAGEREF _Toc460257461 \h </w:instrText>
            </w:r>
            <w:r w:rsidR="00111753">
              <w:rPr>
                <w:noProof/>
                <w:webHidden/>
              </w:rPr>
            </w:r>
            <w:r w:rsidR="00111753">
              <w:rPr>
                <w:noProof/>
                <w:webHidden/>
              </w:rPr>
              <w:fldChar w:fldCharType="separate"/>
            </w:r>
            <w:r w:rsidR="00EA5C86">
              <w:rPr>
                <w:noProof/>
                <w:webHidden/>
              </w:rPr>
              <w:t>4</w:t>
            </w:r>
            <w:r w:rsidR="00111753">
              <w:rPr>
                <w:noProof/>
                <w:webHidden/>
              </w:rPr>
              <w:fldChar w:fldCharType="end"/>
            </w:r>
          </w:hyperlink>
        </w:p>
        <w:p w14:paraId="1AFF0CE5" w14:textId="77777777" w:rsidR="00111753" w:rsidRDefault="005C0B55">
          <w:pPr>
            <w:pStyle w:val="TOC1"/>
            <w:tabs>
              <w:tab w:val="right" w:leader="dot" w:pos="9322"/>
            </w:tabs>
            <w:rPr>
              <w:rFonts w:eastAsiaTheme="minorEastAsia"/>
              <w:noProof/>
              <w:lang w:eastAsia="en-AU"/>
            </w:rPr>
          </w:pPr>
          <w:hyperlink w:anchor="_Toc460257462" w:history="1">
            <w:r w:rsidR="00111753" w:rsidRPr="001D191A">
              <w:rPr>
                <w:rStyle w:val="Hyperlink"/>
                <w:noProof/>
              </w:rPr>
              <w:t>EXECUTIVE SUMMARY</w:t>
            </w:r>
            <w:r w:rsidR="00111753">
              <w:rPr>
                <w:noProof/>
                <w:webHidden/>
              </w:rPr>
              <w:tab/>
            </w:r>
            <w:r w:rsidR="00111753">
              <w:rPr>
                <w:noProof/>
                <w:webHidden/>
              </w:rPr>
              <w:fldChar w:fldCharType="begin"/>
            </w:r>
            <w:r w:rsidR="00111753">
              <w:rPr>
                <w:noProof/>
                <w:webHidden/>
              </w:rPr>
              <w:instrText xml:space="preserve"> PAGEREF _Toc460257462 \h </w:instrText>
            </w:r>
            <w:r w:rsidR="00111753">
              <w:rPr>
                <w:noProof/>
                <w:webHidden/>
              </w:rPr>
            </w:r>
            <w:r w:rsidR="00111753">
              <w:rPr>
                <w:noProof/>
                <w:webHidden/>
              </w:rPr>
              <w:fldChar w:fldCharType="separate"/>
            </w:r>
            <w:r w:rsidR="00EA5C86">
              <w:rPr>
                <w:noProof/>
                <w:webHidden/>
              </w:rPr>
              <w:t>5</w:t>
            </w:r>
            <w:r w:rsidR="00111753">
              <w:rPr>
                <w:noProof/>
                <w:webHidden/>
              </w:rPr>
              <w:fldChar w:fldCharType="end"/>
            </w:r>
          </w:hyperlink>
        </w:p>
        <w:p w14:paraId="3BA2FEC5" w14:textId="77777777" w:rsidR="00111753" w:rsidRDefault="005C0B55">
          <w:pPr>
            <w:pStyle w:val="TOC1"/>
            <w:tabs>
              <w:tab w:val="right" w:leader="dot" w:pos="9322"/>
            </w:tabs>
            <w:rPr>
              <w:rFonts w:eastAsiaTheme="minorEastAsia"/>
              <w:noProof/>
              <w:lang w:eastAsia="en-AU"/>
            </w:rPr>
          </w:pPr>
          <w:hyperlink w:anchor="_Toc460257468" w:history="1">
            <w:r w:rsidR="00111753" w:rsidRPr="001D191A">
              <w:rPr>
                <w:rStyle w:val="Hyperlink"/>
                <w:noProof/>
              </w:rPr>
              <w:t>RECOMMENDATIONS</w:t>
            </w:r>
            <w:r w:rsidR="00111753">
              <w:rPr>
                <w:noProof/>
                <w:webHidden/>
              </w:rPr>
              <w:tab/>
            </w:r>
            <w:r w:rsidR="00111753">
              <w:rPr>
                <w:noProof/>
                <w:webHidden/>
              </w:rPr>
              <w:fldChar w:fldCharType="begin"/>
            </w:r>
            <w:r w:rsidR="00111753">
              <w:rPr>
                <w:noProof/>
                <w:webHidden/>
              </w:rPr>
              <w:instrText xml:space="preserve"> PAGEREF _Toc460257468 \h </w:instrText>
            </w:r>
            <w:r w:rsidR="00111753">
              <w:rPr>
                <w:noProof/>
                <w:webHidden/>
              </w:rPr>
            </w:r>
            <w:r w:rsidR="00111753">
              <w:rPr>
                <w:noProof/>
                <w:webHidden/>
              </w:rPr>
              <w:fldChar w:fldCharType="separate"/>
            </w:r>
            <w:r w:rsidR="00EA5C86">
              <w:rPr>
                <w:noProof/>
                <w:webHidden/>
              </w:rPr>
              <w:t>8</w:t>
            </w:r>
            <w:r w:rsidR="00111753">
              <w:rPr>
                <w:noProof/>
                <w:webHidden/>
              </w:rPr>
              <w:fldChar w:fldCharType="end"/>
            </w:r>
          </w:hyperlink>
        </w:p>
        <w:p w14:paraId="2D415C45" w14:textId="77777777" w:rsidR="00111753" w:rsidRDefault="005C0B55">
          <w:pPr>
            <w:pStyle w:val="TOC1"/>
            <w:tabs>
              <w:tab w:val="left" w:pos="440"/>
              <w:tab w:val="right" w:leader="dot" w:pos="9322"/>
            </w:tabs>
            <w:rPr>
              <w:rFonts w:eastAsiaTheme="minorEastAsia"/>
              <w:noProof/>
              <w:lang w:eastAsia="en-AU"/>
            </w:rPr>
          </w:pPr>
          <w:hyperlink w:anchor="_Toc460257474" w:history="1">
            <w:r w:rsidR="00111753" w:rsidRPr="001D191A">
              <w:rPr>
                <w:rStyle w:val="Hyperlink"/>
                <w:noProof/>
              </w:rPr>
              <w:t>1</w:t>
            </w:r>
            <w:r w:rsidR="00111753">
              <w:rPr>
                <w:rFonts w:eastAsiaTheme="minorEastAsia"/>
                <w:noProof/>
                <w:lang w:eastAsia="en-AU"/>
              </w:rPr>
              <w:tab/>
            </w:r>
            <w:r w:rsidR="00111753" w:rsidRPr="001D191A">
              <w:rPr>
                <w:rStyle w:val="Hyperlink"/>
                <w:noProof/>
              </w:rPr>
              <w:t>INTRODUCTION</w:t>
            </w:r>
            <w:r w:rsidR="00111753">
              <w:rPr>
                <w:noProof/>
                <w:webHidden/>
              </w:rPr>
              <w:tab/>
            </w:r>
            <w:r w:rsidR="00111753">
              <w:rPr>
                <w:noProof/>
                <w:webHidden/>
              </w:rPr>
              <w:fldChar w:fldCharType="begin"/>
            </w:r>
            <w:r w:rsidR="00111753">
              <w:rPr>
                <w:noProof/>
                <w:webHidden/>
              </w:rPr>
              <w:instrText xml:space="preserve"> PAGEREF _Toc460257474 \h </w:instrText>
            </w:r>
            <w:r w:rsidR="00111753">
              <w:rPr>
                <w:noProof/>
                <w:webHidden/>
              </w:rPr>
            </w:r>
            <w:r w:rsidR="00111753">
              <w:rPr>
                <w:noProof/>
                <w:webHidden/>
              </w:rPr>
              <w:fldChar w:fldCharType="separate"/>
            </w:r>
            <w:r w:rsidR="00EA5C86">
              <w:rPr>
                <w:noProof/>
                <w:webHidden/>
              </w:rPr>
              <w:t>12</w:t>
            </w:r>
            <w:r w:rsidR="00111753">
              <w:rPr>
                <w:noProof/>
                <w:webHidden/>
              </w:rPr>
              <w:fldChar w:fldCharType="end"/>
            </w:r>
          </w:hyperlink>
        </w:p>
        <w:p w14:paraId="3F7D884D" w14:textId="77777777" w:rsidR="00111753" w:rsidRDefault="005C0B55">
          <w:pPr>
            <w:pStyle w:val="TOC2"/>
            <w:rPr>
              <w:rFonts w:eastAsiaTheme="minorEastAsia"/>
              <w:noProof/>
              <w:lang w:eastAsia="en-AU"/>
            </w:rPr>
          </w:pPr>
          <w:hyperlink w:anchor="_Toc460257475" w:history="1">
            <w:r w:rsidR="00111753" w:rsidRPr="001D191A">
              <w:rPr>
                <w:rStyle w:val="Hyperlink"/>
                <w:noProof/>
              </w:rPr>
              <w:t>1.1</w:t>
            </w:r>
            <w:r w:rsidR="00111753">
              <w:rPr>
                <w:rFonts w:eastAsiaTheme="minorEastAsia"/>
                <w:noProof/>
                <w:lang w:eastAsia="en-AU"/>
              </w:rPr>
              <w:tab/>
            </w:r>
            <w:r w:rsidR="00111753" w:rsidRPr="001D191A">
              <w:rPr>
                <w:rStyle w:val="Hyperlink"/>
                <w:noProof/>
              </w:rPr>
              <w:t>Why a taskforce?</w:t>
            </w:r>
            <w:r w:rsidR="00111753">
              <w:rPr>
                <w:noProof/>
                <w:webHidden/>
              </w:rPr>
              <w:tab/>
            </w:r>
            <w:r w:rsidR="00111753">
              <w:rPr>
                <w:noProof/>
                <w:webHidden/>
              </w:rPr>
              <w:fldChar w:fldCharType="begin"/>
            </w:r>
            <w:r w:rsidR="00111753">
              <w:rPr>
                <w:noProof/>
                <w:webHidden/>
              </w:rPr>
              <w:instrText xml:space="preserve"> PAGEREF _Toc460257475 \h </w:instrText>
            </w:r>
            <w:r w:rsidR="00111753">
              <w:rPr>
                <w:noProof/>
                <w:webHidden/>
              </w:rPr>
            </w:r>
            <w:r w:rsidR="00111753">
              <w:rPr>
                <w:noProof/>
                <w:webHidden/>
              </w:rPr>
              <w:fldChar w:fldCharType="separate"/>
            </w:r>
            <w:r w:rsidR="00EA5C86">
              <w:rPr>
                <w:noProof/>
                <w:webHidden/>
              </w:rPr>
              <w:t>12</w:t>
            </w:r>
            <w:r w:rsidR="00111753">
              <w:rPr>
                <w:noProof/>
                <w:webHidden/>
              </w:rPr>
              <w:fldChar w:fldCharType="end"/>
            </w:r>
          </w:hyperlink>
        </w:p>
        <w:p w14:paraId="4DE2C584" w14:textId="77777777" w:rsidR="00111753" w:rsidRDefault="005C0B55">
          <w:pPr>
            <w:pStyle w:val="TOC2"/>
            <w:rPr>
              <w:rFonts w:eastAsiaTheme="minorEastAsia"/>
              <w:noProof/>
              <w:lang w:eastAsia="en-AU"/>
            </w:rPr>
          </w:pPr>
          <w:hyperlink w:anchor="_Toc460257476" w:history="1">
            <w:r w:rsidR="00111753" w:rsidRPr="001D191A">
              <w:rPr>
                <w:rStyle w:val="Hyperlink"/>
                <w:noProof/>
              </w:rPr>
              <w:t>1.2</w:t>
            </w:r>
            <w:r w:rsidR="00111753">
              <w:rPr>
                <w:rFonts w:eastAsiaTheme="minorEastAsia"/>
                <w:noProof/>
                <w:lang w:eastAsia="en-AU"/>
              </w:rPr>
              <w:tab/>
            </w:r>
            <w:r w:rsidR="00111753" w:rsidRPr="001D191A">
              <w:rPr>
                <w:rStyle w:val="Hyperlink"/>
                <w:noProof/>
              </w:rPr>
              <w:t>Taskforce membership</w:t>
            </w:r>
            <w:r w:rsidR="00111753">
              <w:rPr>
                <w:noProof/>
                <w:webHidden/>
              </w:rPr>
              <w:tab/>
            </w:r>
            <w:r w:rsidR="00111753">
              <w:rPr>
                <w:noProof/>
                <w:webHidden/>
              </w:rPr>
              <w:fldChar w:fldCharType="begin"/>
            </w:r>
            <w:r w:rsidR="00111753">
              <w:rPr>
                <w:noProof/>
                <w:webHidden/>
              </w:rPr>
              <w:instrText xml:space="preserve"> PAGEREF _Toc460257476 \h </w:instrText>
            </w:r>
            <w:r w:rsidR="00111753">
              <w:rPr>
                <w:noProof/>
                <w:webHidden/>
              </w:rPr>
            </w:r>
            <w:r w:rsidR="00111753">
              <w:rPr>
                <w:noProof/>
                <w:webHidden/>
              </w:rPr>
              <w:fldChar w:fldCharType="separate"/>
            </w:r>
            <w:r w:rsidR="00EA5C86">
              <w:rPr>
                <w:noProof/>
                <w:webHidden/>
              </w:rPr>
              <w:t>12</w:t>
            </w:r>
            <w:r w:rsidR="00111753">
              <w:rPr>
                <w:noProof/>
                <w:webHidden/>
              </w:rPr>
              <w:fldChar w:fldCharType="end"/>
            </w:r>
          </w:hyperlink>
        </w:p>
        <w:p w14:paraId="0FC0471A" w14:textId="77777777" w:rsidR="00111753" w:rsidRDefault="005C0B55">
          <w:pPr>
            <w:pStyle w:val="TOC2"/>
            <w:rPr>
              <w:rFonts w:eastAsiaTheme="minorEastAsia"/>
              <w:noProof/>
              <w:lang w:eastAsia="en-AU"/>
            </w:rPr>
          </w:pPr>
          <w:hyperlink w:anchor="_Toc460257477" w:history="1">
            <w:r w:rsidR="00111753" w:rsidRPr="001D191A">
              <w:rPr>
                <w:rStyle w:val="Hyperlink"/>
                <w:noProof/>
              </w:rPr>
              <w:t>1.3</w:t>
            </w:r>
            <w:r w:rsidR="00111753">
              <w:rPr>
                <w:rFonts w:eastAsiaTheme="minorEastAsia"/>
                <w:noProof/>
                <w:lang w:eastAsia="en-AU"/>
              </w:rPr>
              <w:tab/>
            </w:r>
            <w:r w:rsidR="00111753" w:rsidRPr="001D191A">
              <w:rPr>
                <w:rStyle w:val="Hyperlink"/>
                <w:noProof/>
              </w:rPr>
              <w:t>Terms of reference</w:t>
            </w:r>
            <w:r w:rsidR="00111753">
              <w:rPr>
                <w:noProof/>
                <w:webHidden/>
              </w:rPr>
              <w:tab/>
            </w:r>
            <w:r w:rsidR="00111753">
              <w:rPr>
                <w:noProof/>
                <w:webHidden/>
              </w:rPr>
              <w:fldChar w:fldCharType="begin"/>
            </w:r>
            <w:r w:rsidR="00111753">
              <w:rPr>
                <w:noProof/>
                <w:webHidden/>
              </w:rPr>
              <w:instrText xml:space="preserve"> PAGEREF _Toc460257477 \h </w:instrText>
            </w:r>
            <w:r w:rsidR="00111753">
              <w:rPr>
                <w:noProof/>
                <w:webHidden/>
              </w:rPr>
            </w:r>
            <w:r w:rsidR="00111753">
              <w:rPr>
                <w:noProof/>
                <w:webHidden/>
              </w:rPr>
              <w:fldChar w:fldCharType="separate"/>
            </w:r>
            <w:r w:rsidR="00EA5C86">
              <w:rPr>
                <w:noProof/>
                <w:webHidden/>
              </w:rPr>
              <w:t>13</w:t>
            </w:r>
            <w:r w:rsidR="00111753">
              <w:rPr>
                <w:noProof/>
                <w:webHidden/>
              </w:rPr>
              <w:fldChar w:fldCharType="end"/>
            </w:r>
          </w:hyperlink>
        </w:p>
        <w:p w14:paraId="5E74645E" w14:textId="77777777" w:rsidR="00111753" w:rsidRDefault="005C0B55">
          <w:pPr>
            <w:pStyle w:val="TOC2"/>
            <w:rPr>
              <w:rFonts w:eastAsiaTheme="minorEastAsia"/>
              <w:noProof/>
              <w:lang w:eastAsia="en-AU"/>
            </w:rPr>
          </w:pPr>
          <w:hyperlink w:anchor="_Toc460257478" w:history="1">
            <w:r w:rsidR="00111753" w:rsidRPr="001D191A">
              <w:rPr>
                <w:rStyle w:val="Hyperlink"/>
                <w:noProof/>
              </w:rPr>
              <w:t>1.4</w:t>
            </w:r>
            <w:r w:rsidR="00111753">
              <w:rPr>
                <w:rFonts w:eastAsiaTheme="minorEastAsia"/>
                <w:noProof/>
                <w:lang w:eastAsia="en-AU"/>
              </w:rPr>
              <w:tab/>
            </w:r>
            <w:r w:rsidR="00111753" w:rsidRPr="001D191A">
              <w:rPr>
                <w:rStyle w:val="Hyperlink"/>
                <w:noProof/>
              </w:rPr>
              <w:t>Final report</w:t>
            </w:r>
            <w:r w:rsidR="00111753">
              <w:rPr>
                <w:noProof/>
                <w:webHidden/>
              </w:rPr>
              <w:tab/>
            </w:r>
            <w:r w:rsidR="00111753">
              <w:rPr>
                <w:noProof/>
                <w:webHidden/>
              </w:rPr>
              <w:fldChar w:fldCharType="begin"/>
            </w:r>
            <w:r w:rsidR="00111753">
              <w:rPr>
                <w:noProof/>
                <w:webHidden/>
              </w:rPr>
              <w:instrText xml:space="preserve"> PAGEREF _Toc460257478 \h </w:instrText>
            </w:r>
            <w:r w:rsidR="00111753">
              <w:rPr>
                <w:noProof/>
                <w:webHidden/>
              </w:rPr>
            </w:r>
            <w:r w:rsidR="00111753">
              <w:rPr>
                <w:noProof/>
                <w:webHidden/>
              </w:rPr>
              <w:fldChar w:fldCharType="separate"/>
            </w:r>
            <w:r w:rsidR="00EA5C86">
              <w:rPr>
                <w:noProof/>
                <w:webHidden/>
              </w:rPr>
              <w:t>13</w:t>
            </w:r>
            <w:r w:rsidR="00111753">
              <w:rPr>
                <w:noProof/>
                <w:webHidden/>
              </w:rPr>
              <w:fldChar w:fldCharType="end"/>
            </w:r>
          </w:hyperlink>
        </w:p>
        <w:p w14:paraId="323B65A2" w14:textId="77777777" w:rsidR="00111753" w:rsidRDefault="005C0B55">
          <w:pPr>
            <w:pStyle w:val="TOC1"/>
            <w:tabs>
              <w:tab w:val="left" w:pos="440"/>
              <w:tab w:val="right" w:leader="dot" w:pos="9322"/>
            </w:tabs>
            <w:rPr>
              <w:rFonts w:eastAsiaTheme="minorEastAsia"/>
              <w:noProof/>
              <w:lang w:eastAsia="en-AU"/>
            </w:rPr>
          </w:pPr>
          <w:hyperlink w:anchor="_Toc460257479" w:history="1">
            <w:r w:rsidR="00111753" w:rsidRPr="001D191A">
              <w:rPr>
                <w:rStyle w:val="Hyperlink"/>
                <w:noProof/>
              </w:rPr>
              <w:t>2</w:t>
            </w:r>
            <w:r w:rsidR="00111753">
              <w:rPr>
                <w:rFonts w:eastAsiaTheme="minorEastAsia"/>
                <w:noProof/>
                <w:lang w:eastAsia="en-AU"/>
              </w:rPr>
              <w:tab/>
            </w:r>
            <w:r w:rsidR="00111753" w:rsidRPr="001D191A">
              <w:rPr>
                <w:rStyle w:val="Hyperlink"/>
                <w:noProof/>
              </w:rPr>
              <w:t>THE TASKFORCE VISION AND APPROACH</w:t>
            </w:r>
            <w:r w:rsidR="00111753">
              <w:rPr>
                <w:noProof/>
                <w:webHidden/>
              </w:rPr>
              <w:tab/>
            </w:r>
            <w:r w:rsidR="00111753">
              <w:rPr>
                <w:noProof/>
                <w:webHidden/>
              </w:rPr>
              <w:fldChar w:fldCharType="begin"/>
            </w:r>
            <w:r w:rsidR="00111753">
              <w:rPr>
                <w:noProof/>
                <w:webHidden/>
              </w:rPr>
              <w:instrText xml:space="preserve"> PAGEREF _Toc460257479 \h </w:instrText>
            </w:r>
            <w:r w:rsidR="00111753">
              <w:rPr>
                <w:noProof/>
                <w:webHidden/>
              </w:rPr>
            </w:r>
            <w:r w:rsidR="00111753">
              <w:rPr>
                <w:noProof/>
                <w:webHidden/>
              </w:rPr>
              <w:fldChar w:fldCharType="separate"/>
            </w:r>
            <w:r w:rsidR="00EA5C86">
              <w:rPr>
                <w:noProof/>
                <w:webHidden/>
              </w:rPr>
              <w:t>14</w:t>
            </w:r>
            <w:r w:rsidR="00111753">
              <w:rPr>
                <w:noProof/>
                <w:webHidden/>
              </w:rPr>
              <w:fldChar w:fldCharType="end"/>
            </w:r>
          </w:hyperlink>
        </w:p>
        <w:p w14:paraId="2BB6B884" w14:textId="77777777" w:rsidR="00111753" w:rsidRDefault="005C0B55">
          <w:pPr>
            <w:pStyle w:val="TOC2"/>
            <w:rPr>
              <w:rFonts w:eastAsiaTheme="minorEastAsia"/>
              <w:noProof/>
              <w:lang w:eastAsia="en-AU"/>
            </w:rPr>
          </w:pPr>
          <w:hyperlink w:anchor="_Toc460257480" w:history="1">
            <w:r w:rsidR="00111753" w:rsidRPr="001D191A">
              <w:rPr>
                <w:rStyle w:val="Hyperlink"/>
                <w:noProof/>
              </w:rPr>
              <w:t>2.1</w:t>
            </w:r>
            <w:r w:rsidR="00111753">
              <w:rPr>
                <w:rFonts w:eastAsiaTheme="minorEastAsia"/>
                <w:noProof/>
                <w:lang w:eastAsia="en-AU"/>
              </w:rPr>
              <w:tab/>
            </w:r>
            <w:r w:rsidR="00111753" w:rsidRPr="001D191A">
              <w:rPr>
                <w:rStyle w:val="Hyperlink"/>
                <w:noProof/>
              </w:rPr>
              <w:t>Active ageing</w:t>
            </w:r>
            <w:r w:rsidR="00111753">
              <w:rPr>
                <w:noProof/>
                <w:webHidden/>
              </w:rPr>
              <w:tab/>
            </w:r>
            <w:r w:rsidR="00111753">
              <w:rPr>
                <w:noProof/>
                <w:webHidden/>
              </w:rPr>
              <w:fldChar w:fldCharType="begin"/>
            </w:r>
            <w:r w:rsidR="00111753">
              <w:rPr>
                <w:noProof/>
                <w:webHidden/>
              </w:rPr>
              <w:instrText xml:space="preserve"> PAGEREF _Toc460257480 \h </w:instrText>
            </w:r>
            <w:r w:rsidR="00111753">
              <w:rPr>
                <w:noProof/>
                <w:webHidden/>
              </w:rPr>
            </w:r>
            <w:r w:rsidR="00111753">
              <w:rPr>
                <w:noProof/>
                <w:webHidden/>
              </w:rPr>
              <w:fldChar w:fldCharType="separate"/>
            </w:r>
            <w:r w:rsidR="00EA5C86">
              <w:rPr>
                <w:noProof/>
                <w:webHidden/>
              </w:rPr>
              <w:t>14</w:t>
            </w:r>
            <w:r w:rsidR="00111753">
              <w:rPr>
                <w:noProof/>
                <w:webHidden/>
              </w:rPr>
              <w:fldChar w:fldCharType="end"/>
            </w:r>
          </w:hyperlink>
        </w:p>
        <w:p w14:paraId="1BD1706E" w14:textId="77777777" w:rsidR="00111753" w:rsidRDefault="005C0B55">
          <w:pPr>
            <w:pStyle w:val="TOC2"/>
            <w:rPr>
              <w:rFonts w:eastAsiaTheme="minorEastAsia"/>
              <w:noProof/>
              <w:lang w:eastAsia="en-AU"/>
            </w:rPr>
          </w:pPr>
          <w:hyperlink w:anchor="_Toc460257481" w:history="1">
            <w:r w:rsidR="00111753" w:rsidRPr="001D191A">
              <w:rPr>
                <w:rStyle w:val="Hyperlink"/>
                <w:noProof/>
              </w:rPr>
              <w:t>2.2</w:t>
            </w:r>
            <w:r w:rsidR="00111753">
              <w:rPr>
                <w:rFonts w:eastAsiaTheme="minorEastAsia"/>
                <w:noProof/>
                <w:lang w:eastAsia="en-AU"/>
              </w:rPr>
              <w:tab/>
            </w:r>
            <w:r w:rsidR="00111753" w:rsidRPr="001D191A">
              <w:rPr>
                <w:rStyle w:val="Hyperlink"/>
                <w:noProof/>
              </w:rPr>
              <w:t>Housing issues</w:t>
            </w:r>
            <w:r w:rsidR="00111753">
              <w:rPr>
                <w:noProof/>
                <w:webHidden/>
              </w:rPr>
              <w:tab/>
            </w:r>
            <w:r w:rsidR="00111753">
              <w:rPr>
                <w:noProof/>
                <w:webHidden/>
              </w:rPr>
              <w:fldChar w:fldCharType="begin"/>
            </w:r>
            <w:r w:rsidR="00111753">
              <w:rPr>
                <w:noProof/>
                <w:webHidden/>
              </w:rPr>
              <w:instrText xml:space="preserve"> PAGEREF _Toc460257481 \h </w:instrText>
            </w:r>
            <w:r w:rsidR="00111753">
              <w:rPr>
                <w:noProof/>
                <w:webHidden/>
              </w:rPr>
            </w:r>
            <w:r w:rsidR="00111753">
              <w:rPr>
                <w:noProof/>
                <w:webHidden/>
              </w:rPr>
              <w:fldChar w:fldCharType="separate"/>
            </w:r>
            <w:r w:rsidR="00EA5C86">
              <w:rPr>
                <w:noProof/>
                <w:webHidden/>
              </w:rPr>
              <w:t>14</w:t>
            </w:r>
            <w:r w:rsidR="00111753">
              <w:rPr>
                <w:noProof/>
                <w:webHidden/>
              </w:rPr>
              <w:fldChar w:fldCharType="end"/>
            </w:r>
          </w:hyperlink>
        </w:p>
        <w:p w14:paraId="4CD2E295" w14:textId="77777777" w:rsidR="00111753" w:rsidRDefault="005C0B55">
          <w:pPr>
            <w:pStyle w:val="TOC2"/>
            <w:rPr>
              <w:rFonts w:eastAsiaTheme="minorEastAsia"/>
              <w:noProof/>
              <w:lang w:eastAsia="en-AU"/>
            </w:rPr>
          </w:pPr>
          <w:hyperlink w:anchor="_Toc460257482" w:history="1">
            <w:r w:rsidR="00111753" w:rsidRPr="001D191A">
              <w:rPr>
                <w:rStyle w:val="Hyperlink"/>
                <w:noProof/>
              </w:rPr>
              <w:t>2.3</w:t>
            </w:r>
            <w:r w:rsidR="00111753">
              <w:rPr>
                <w:rFonts w:eastAsiaTheme="minorEastAsia"/>
                <w:noProof/>
                <w:lang w:eastAsia="en-AU"/>
              </w:rPr>
              <w:tab/>
            </w:r>
            <w:r w:rsidR="00111753" w:rsidRPr="001D191A">
              <w:rPr>
                <w:rStyle w:val="Hyperlink"/>
                <w:noProof/>
              </w:rPr>
              <w:t>Approach</w:t>
            </w:r>
            <w:r w:rsidR="00111753">
              <w:rPr>
                <w:noProof/>
                <w:webHidden/>
              </w:rPr>
              <w:tab/>
            </w:r>
            <w:r w:rsidR="00111753">
              <w:rPr>
                <w:noProof/>
                <w:webHidden/>
              </w:rPr>
              <w:fldChar w:fldCharType="begin"/>
            </w:r>
            <w:r w:rsidR="00111753">
              <w:rPr>
                <w:noProof/>
                <w:webHidden/>
              </w:rPr>
              <w:instrText xml:space="preserve"> PAGEREF _Toc460257482 \h </w:instrText>
            </w:r>
            <w:r w:rsidR="00111753">
              <w:rPr>
                <w:noProof/>
                <w:webHidden/>
              </w:rPr>
            </w:r>
            <w:r w:rsidR="00111753">
              <w:rPr>
                <w:noProof/>
                <w:webHidden/>
              </w:rPr>
              <w:fldChar w:fldCharType="separate"/>
            </w:r>
            <w:r w:rsidR="00EA5C86">
              <w:rPr>
                <w:noProof/>
                <w:webHidden/>
              </w:rPr>
              <w:t>14</w:t>
            </w:r>
            <w:r w:rsidR="00111753">
              <w:rPr>
                <w:noProof/>
                <w:webHidden/>
              </w:rPr>
              <w:fldChar w:fldCharType="end"/>
            </w:r>
          </w:hyperlink>
        </w:p>
        <w:p w14:paraId="088D60AD" w14:textId="77777777" w:rsidR="00111753" w:rsidRDefault="005C0B55">
          <w:pPr>
            <w:pStyle w:val="TOC1"/>
            <w:tabs>
              <w:tab w:val="left" w:pos="440"/>
              <w:tab w:val="right" w:leader="dot" w:pos="9322"/>
            </w:tabs>
            <w:rPr>
              <w:rFonts w:eastAsiaTheme="minorEastAsia"/>
              <w:noProof/>
              <w:lang w:eastAsia="en-AU"/>
            </w:rPr>
          </w:pPr>
          <w:hyperlink w:anchor="_Toc460257488" w:history="1">
            <w:r w:rsidR="00111753" w:rsidRPr="001D191A">
              <w:rPr>
                <w:rStyle w:val="Hyperlink"/>
                <w:noProof/>
              </w:rPr>
              <w:t>3</w:t>
            </w:r>
            <w:r w:rsidR="00111753">
              <w:rPr>
                <w:rFonts w:eastAsiaTheme="minorEastAsia"/>
                <w:noProof/>
                <w:lang w:eastAsia="en-AU"/>
              </w:rPr>
              <w:tab/>
            </w:r>
            <w:r w:rsidR="00111753" w:rsidRPr="001D191A">
              <w:rPr>
                <w:rStyle w:val="Hyperlink"/>
                <w:noProof/>
              </w:rPr>
              <w:t>BACKGROUND</w:t>
            </w:r>
            <w:r w:rsidR="00111753">
              <w:rPr>
                <w:noProof/>
                <w:webHidden/>
              </w:rPr>
              <w:tab/>
            </w:r>
            <w:r w:rsidR="00111753">
              <w:rPr>
                <w:noProof/>
                <w:webHidden/>
              </w:rPr>
              <w:fldChar w:fldCharType="begin"/>
            </w:r>
            <w:r w:rsidR="00111753">
              <w:rPr>
                <w:noProof/>
                <w:webHidden/>
              </w:rPr>
              <w:instrText xml:space="preserve"> PAGEREF _Toc460257488 \h </w:instrText>
            </w:r>
            <w:r w:rsidR="00111753">
              <w:rPr>
                <w:noProof/>
                <w:webHidden/>
              </w:rPr>
            </w:r>
            <w:r w:rsidR="00111753">
              <w:rPr>
                <w:noProof/>
                <w:webHidden/>
              </w:rPr>
              <w:fldChar w:fldCharType="separate"/>
            </w:r>
            <w:r w:rsidR="00EA5C86">
              <w:rPr>
                <w:noProof/>
                <w:webHidden/>
              </w:rPr>
              <w:t>18</w:t>
            </w:r>
            <w:r w:rsidR="00111753">
              <w:rPr>
                <w:noProof/>
                <w:webHidden/>
              </w:rPr>
              <w:fldChar w:fldCharType="end"/>
            </w:r>
          </w:hyperlink>
        </w:p>
        <w:p w14:paraId="32C2705D" w14:textId="77777777" w:rsidR="00111753" w:rsidRDefault="005C0B55">
          <w:pPr>
            <w:pStyle w:val="TOC2"/>
            <w:rPr>
              <w:rFonts w:eastAsiaTheme="minorEastAsia"/>
              <w:noProof/>
              <w:lang w:eastAsia="en-AU"/>
            </w:rPr>
          </w:pPr>
          <w:hyperlink w:anchor="_Toc460257489" w:history="1">
            <w:r w:rsidR="00111753" w:rsidRPr="001D191A">
              <w:rPr>
                <w:rStyle w:val="Hyperlink"/>
                <w:noProof/>
              </w:rPr>
              <w:t>3.1</w:t>
            </w:r>
            <w:r w:rsidR="00111753">
              <w:rPr>
                <w:rFonts w:eastAsiaTheme="minorEastAsia"/>
                <w:noProof/>
                <w:lang w:eastAsia="en-AU"/>
              </w:rPr>
              <w:tab/>
            </w:r>
            <w:r w:rsidR="00111753" w:rsidRPr="001D191A">
              <w:rPr>
                <w:rStyle w:val="Hyperlink"/>
                <w:noProof/>
              </w:rPr>
              <w:t>Demographic and housing trends</w:t>
            </w:r>
            <w:r w:rsidR="00111753">
              <w:rPr>
                <w:noProof/>
                <w:webHidden/>
              </w:rPr>
              <w:tab/>
            </w:r>
            <w:r w:rsidR="00111753">
              <w:rPr>
                <w:noProof/>
                <w:webHidden/>
              </w:rPr>
              <w:fldChar w:fldCharType="begin"/>
            </w:r>
            <w:r w:rsidR="00111753">
              <w:rPr>
                <w:noProof/>
                <w:webHidden/>
              </w:rPr>
              <w:instrText xml:space="preserve"> PAGEREF _Toc460257489 \h </w:instrText>
            </w:r>
            <w:r w:rsidR="00111753">
              <w:rPr>
                <w:noProof/>
                <w:webHidden/>
              </w:rPr>
            </w:r>
            <w:r w:rsidR="00111753">
              <w:rPr>
                <w:noProof/>
                <w:webHidden/>
              </w:rPr>
              <w:fldChar w:fldCharType="separate"/>
            </w:r>
            <w:r w:rsidR="00EA5C86">
              <w:rPr>
                <w:noProof/>
                <w:webHidden/>
              </w:rPr>
              <w:t>18</w:t>
            </w:r>
            <w:r w:rsidR="00111753">
              <w:rPr>
                <w:noProof/>
                <w:webHidden/>
              </w:rPr>
              <w:fldChar w:fldCharType="end"/>
            </w:r>
          </w:hyperlink>
        </w:p>
        <w:p w14:paraId="3FFE0AC6" w14:textId="77777777" w:rsidR="00111753" w:rsidRDefault="005C0B55">
          <w:pPr>
            <w:pStyle w:val="TOC2"/>
            <w:rPr>
              <w:rFonts w:eastAsiaTheme="minorEastAsia"/>
              <w:noProof/>
              <w:lang w:eastAsia="en-AU"/>
            </w:rPr>
          </w:pPr>
          <w:hyperlink w:anchor="_Toc460257494" w:history="1">
            <w:r w:rsidR="00111753" w:rsidRPr="001D191A">
              <w:rPr>
                <w:rStyle w:val="Hyperlink"/>
                <w:noProof/>
              </w:rPr>
              <w:t>3.2</w:t>
            </w:r>
            <w:r w:rsidR="00111753">
              <w:rPr>
                <w:rFonts w:eastAsiaTheme="minorEastAsia"/>
                <w:noProof/>
                <w:lang w:eastAsia="en-AU"/>
              </w:rPr>
              <w:tab/>
            </w:r>
            <w:r w:rsidR="00111753" w:rsidRPr="001D191A">
              <w:rPr>
                <w:rStyle w:val="Hyperlink"/>
                <w:noProof/>
              </w:rPr>
              <w:t>Queensland government strategic direction – older people and housing</w:t>
            </w:r>
            <w:r w:rsidR="00111753">
              <w:rPr>
                <w:noProof/>
                <w:webHidden/>
              </w:rPr>
              <w:tab/>
            </w:r>
            <w:r w:rsidR="00111753">
              <w:rPr>
                <w:noProof/>
                <w:webHidden/>
              </w:rPr>
              <w:fldChar w:fldCharType="begin"/>
            </w:r>
            <w:r w:rsidR="00111753">
              <w:rPr>
                <w:noProof/>
                <w:webHidden/>
              </w:rPr>
              <w:instrText xml:space="preserve"> PAGEREF _Toc460257494 \h </w:instrText>
            </w:r>
            <w:r w:rsidR="00111753">
              <w:rPr>
                <w:noProof/>
                <w:webHidden/>
              </w:rPr>
            </w:r>
            <w:r w:rsidR="00111753">
              <w:rPr>
                <w:noProof/>
                <w:webHidden/>
              </w:rPr>
              <w:fldChar w:fldCharType="separate"/>
            </w:r>
            <w:r w:rsidR="00EA5C86">
              <w:rPr>
                <w:noProof/>
                <w:webHidden/>
              </w:rPr>
              <w:t>21</w:t>
            </w:r>
            <w:r w:rsidR="00111753">
              <w:rPr>
                <w:noProof/>
                <w:webHidden/>
              </w:rPr>
              <w:fldChar w:fldCharType="end"/>
            </w:r>
          </w:hyperlink>
        </w:p>
        <w:p w14:paraId="0FF01F74" w14:textId="77777777" w:rsidR="00111753" w:rsidRDefault="005C0B55">
          <w:pPr>
            <w:pStyle w:val="TOC1"/>
            <w:tabs>
              <w:tab w:val="left" w:pos="440"/>
              <w:tab w:val="right" w:leader="dot" w:pos="9322"/>
            </w:tabs>
            <w:rPr>
              <w:rFonts w:eastAsiaTheme="minorEastAsia"/>
              <w:noProof/>
              <w:lang w:eastAsia="en-AU"/>
            </w:rPr>
          </w:pPr>
          <w:hyperlink w:anchor="_Toc460257495" w:history="1">
            <w:r w:rsidR="00111753" w:rsidRPr="001D191A">
              <w:rPr>
                <w:rStyle w:val="Hyperlink"/>
                <w:noProof/>
              </w:rPr>
              <w:t>4</w:t>
            </w:r>
            <w:r w:rsidR="00111753">
              <w:rPr>
                <w:rFonts w:eastAsiaTheme="minorEastAsia"/>
                <w:noProof/>
                <w:lang w:eastAsia="en-AU"/>
              </w:rPr>
              <w:tab/>
            </w:r>
            <w:r w:rsidR="00111753" w:rsidRPr="001D191A">
              <w:rPr>
                <w:rStyle w:val="Hyperlink"/>
                <w:noProof/>
              </w:rPr>
              <w:t>WHAT THE COMMUNITY TOLD THE TASKFORCE</w:t>
            </w:r>
            <w:r w:rsidR="00111753">
              <w:rPr>
                <w:noProof/>
                <w:webHidden/>
              </w:rPr>
              <w:tab/>
            </w:r>
            <w:r w:rsidR="00111753">
              <w:rPr>
                <w:noProof/>
                <w:webHidden/>
              </w:rPr>
              <w:fldChar w:fldCharType="begin"/>
            </w:r>
            <w:r w:rsidR="00111753">
              <w:rPr>
                <w:noProof/>
                <w:webHidden/>
              </w:rPr>
              <w:instrText xml:space="preserve"> PAGEREF _Toc460257495 \h </w:instrText>
            </w:r>
            <w:r w:rsidR="00111753">
              <w:rPr>
                <w:noProof/>
                <w:webHidden/>
              </w:rPr>
            </w:r>
            <w:r w:rsidR="00111753">
              <w:rPr>
                <w:noProof/>
                <w:webHidden/>
              </w:rPr>
              <w:fldChar w:fldCharType="separate"/>
            </w:r>
            <w:r w:rsidR="00EA5C86">
              <w:rPr>
                <w:noProof/>
                <w:webHidden/>
              </w:rPr>
              <w:t>23</w:t>
            </w:r>
            <w:r w:rsidR="00111753">
              <w:rPr>
                <w:noProof/>
                <w:webHidden/>
              </w:rPr>
              <w:fldChar w:fldCharType="end"/>
            </w:r>
          </w:hyperlink>
        </w:p>
        <w:p w14:paraId="09F37099" w14:textId="77777777" w:rsidR="00111753" w:rsidRDefault="005C0B55">
          <w:pPr>
            <w:pStyle w:val="TOC2"/>
            <w:rPr>
              <w:rFonts w:eastAsiaTheme="minorEastAsia"/>
              <w:noProof/>
              <w:lang w:eastAsia="en-AU"/>
            </w:rPr>
          </w:pPr>
          <w:hyperlink w:anchor="_Toc460257496" w:history="1">
            <w:r w:rsidR="00111753" w:rsidRPr="001D191A">
              <w:rPr>
                <w:rStyle w:val="Hyperlink"/>
                <w:noProof/>
              </w:rPr>
              <w:t>4.1</w:t>
            </w:r>
            <w:r w:rsidR="00111753">
              <w:rPr>
                <w:rFonts w:eastAsiaTheme="minorEastAsia"/>
                <w:noProof/>
                <w:lang w:eastAsia="en-AU"/>
              </w:rPr>
              <w:tab/>
            </w:r>
            <w:r w:rsidR="00111753" w:rsidRPr="001D191A">
              <w:rPr>
                <w:rStyle w:val="Hyperlink"/>
                <w:noProof/>
              </w:rPr>
              <w:t>Housing concerns of older Queenslanders</w:t>
            </w:r>
            <w:r w:rsidR="00111753">
              <w:rPr>
                <w:noProof/>
                <w:webHidden/>
              </w:rPr>
              <w:tab/>
            </w:r>
            <w:r w:rsidR="00111753">
              <w:rPr>
                <w:noProof/>
                <w:webHidden/>
              </w:rPr>
              <w:fldChar w:fldCharType="begin"/>
            </w:r>
            <w:r w:rsidR="00111753">
              <w:rPr>
                <w:noProof/>
                <w:webHidden/>
              </w:rPr>
              <w:instrText xml:space="preserve"> PAGEREF _Toc460257496 \h </w:instrText>
            </w:r>
            <w:r w:rsidR="00111753">
              <w:rPr>
                <w:noProof/>
                <w:webHidden/>
              </w:rPr>
            </w:r>
            <w:r w:rsidR="00111753">
              <w:rPr>
                <w:noProof/>
                <w:webHidden/>
              </w:rPr>
              <w:fldChar w:fldCharType="separate"/>
            </w:r>
            <w:r w:rsidR="00EA5C86">
              <w:rPr>
                <w:noProof/>
                <w:webHidden/>
              </w:rPr>
              <w:t>23</w:t>
            </w:r>
            <w:r w:rsidR="00111753">
              <w:rPr>
                <w:noProof/>
                <w:webHidden/>
              </w:rPr>
              <w:fldChar w:fldCharType="end"/>
            </w:r>
          </w:hyperlink>
        </w:p>
        <w:p w14:paraId="5B334DAF" w14:textId="77777777" w:rsidR="00111753" w:rsidRDefault="005C0B55">
          <w:pPr>
            <w:pStyle w:val="TOC2"/>
            <w:rPr>
              <w:rFonts w:eastAsiaTheme="minorEastAsia"/>
              <w:noProof/>
              <w:lang w:eastAsia="en-AU"/>
            </w:rPr>
          </w:pPr>
          <w:hyperlink w:anchor="_Toc460257497" w:history="1">
            <w:r w:rsidR="00111753" w:rsidRPr="001D191A">
              <w:rPr>
                <w:rStyle w:val="Hyperlink"/>
                <w:noProof/>
              </w:rPr>
              <w:t>4.2</w:t>
            </w:r>
            <w:r w:rsidR="00111753">
              <w:rPr>
                <w:rFonts w:eastAsiaTheme="minorEastAsia"/>
                <w:noProof/>
                <w:lang w:eastAsia="en-AU"/>
              </w:rPr>
              <w:tab/>
            </w:r>
            <w:r w:rsidR="00111753" w:rsidRPr="001D191A">
              <w:rPr>
                <w:rStyle w:val="Hyperlink"/>
                <w:noProof/>
              </w:rPr>
              <w:t>Ageing in place</w:t>
            </w:r>
            <w:r w:rsidR="00111753">
              <w:rPr>
                <w:noProof/>
                <w:webHidden/>
              </w:rPr>
              <w:tab/>
            </w:r>
            <w:r w:rsidR="00111753">
              <w:rPr>
                <w:noProof/>
                <w:webHidden/>
              </w:rPr>
              <w:fldChar w:fldCharType="begin"/>
            </w:r>
            <w:r w:rsidR="00111753">
              <w:rPr>
                <w:noProof/>
                <w:webHidden/>
              </w:rPr>
              <w:instrText xml:space="preserve"> PAGEREF _Toc460257497 \h </w:instrText>
            </w:r>
            <w:r w:rsidR="00111753">
              <w:rPr>
                <w:noProof/>
                <w:webHidden/>
              </w:rPr>
            </w:r>
            <w:r w:rsidR="00111753">
              <w:rPr>
                <w:noProof/>
                <w:webHidden/>
              </w:rPr>
              <w:fldChar w:fldCharType="separate"/>
            </w:r>
            <w:r w:rsidR="00EA5C86">
              <w:rPr>
                <w:noProof/>
                <w:webHidden/>
              </w:rPr>
              <w:t>24</w:t>
            </w:r>
            <w:r w:rsidR="00111753">
              <w:rPr>
                <w:noProof/>
                <w:webHidden/>
              </w:rPr>
              <w:fldChar w:fldCharType="end"/>
            </w:r>
          </w:hyperlink>
        </w:p>
        <w:p w14:paraId="5A3823F0" w14:textId="77777777" w:rsidR="00111753" w:rsidRDefault="005C0B55">
          <w:pPr>
            <w:pStyle w:val="TOC2"/>
            <w:rPr>
              <w:rFonts w:eastAsiaTheme="minorEastAsia"/>
              <w:noProof/>
              <w:lang w:eastAsia="en-AU"/>
            </w:rPr>
          </w:pPr>
          <w:hyperlink w:anchor="_Toc460257498" w:history="1">
            <w:r w:rsidR="00111753" w:rsidRPr="001D191A">
              <w:rPr>
                <w:rStyle w:val="Hyperlink"/>
                <w:noProof/>
              </w:rPr>
              <w:t>4.3</w:t>
            </w:r>
            <w:r w:rsidR="00111753">
              <w:rPr>
                <w:rFonts w:eastAsiaTheme="minorEastAsia"/>
                <w:noProof/>
                <w:lang w:eastAsia="en-AU"/>
              </w:rPr>
              <w:tab/>
            </w:r>
            <w:r w:rsidR="00111753" w:rsidRPr="001D191A">
              <w:rPr>
                <w:rStyle w:val="Hyperlink"/>
                <w:noProof/>
              </w:rPr>
              <w:t>Housing features important to older Queenslanders</w:t>
            </w:r>
            <w:r w:rsidR="00111753">
              <w:rPr>
                <w:noProof/>
                <w:webHidden/>
              </w:rPr>
              <w:tab/>
            </w:r>
            <w:r w:rsidR="00111753">
              <w:rPr>
                <w:noProof/>
                <w:webHidden/>
              </w:rPr>
              <w:fldChar w:fldCharType="begin"/>
            </w:r>
            <w:r w:rsidR="00111753">
              <w:rPr>
                <w:noProof/>
                <w:webHidden/>
              </w:rPr>
              <w:instrText xml:space="preserve"> PAGEREF _Toc460257498 \h </w:instrText>
            </w:r>
            <w:r w:rsidR="00111753">
              <w:rPr>
                <w:noProof/>
                <w:webHidden/>
              </w:rPr>
            </w:r>
            <w:r w:rsidR="00111753">
              <w:rPr>
                <w:noProof/>
                <w:webHidden/>
              </w:rPr>
              <w:fldChar w:fldCharType="separate"/>
            </w:r>
            <w:r w:rsidR="00EA5C86">
              <w:rPr>
                <w:noProof/>
                <w:webHidden/>
              </w:rPr>
              <w:t>24</w:t>
            </w:r>
            <w:r w:rsidR="00111753">
              <w:rPr>
                <w:noProof/>
                <w:webHidden/>
              </w:rPr>
              <w:fldChar w:fldCharType="end"/>
            </w:r>
          </w:hyperlink>
        </w:p>
        <w:p w14:paraId="36C7A792" w14:textId="77777777" w:rsidR="00111753" w:rsidRDefault="005C0B55">
          <w:pPr>
            <w:pStyle w:val="TOC1"/>
            <w:tabs>
              <w:tab w:val="left" w:pos="440"/>
              <w:tab w:val="right" w:leader="dot" w:pos="9322"/>
            </w:tabs>
            <w:rPr>
              <w:rFonts w:eastAsiaTheme="minorEastAsia"/>
              <w:noProof/>
              <w:lang w:eastAsia="en-AU"/>
            </w:rPr>
          </w:pPr>
          <w:hyperlink w:anchor="_Toc460257499" w:history="1">
            <w:r w:rsidR="00111753" w:rsidRPr="001D191A">
              <w:rPr>
                <w:rStyle w:val="Hyperlink"/>
                <w:noProof/>
              </w:rPr>
              <w:t>5</w:t>
            </w:r>
            <w:r w:rsidR="00111753">
              <w:rPr>
                <w:rFonts w:eastAsiaTheme="minorEastAsia"/>
                <w:noProof/>
                <w:lang w:eastAsia="en-AU"/>
              </w:rPr>
              <w:tab/>
            </w:r>
            <w:r w:rsidR="00111753" w:rsidRPr="001D191A">
              <w:rPr>
                <w:rStyle w:val="Hyperlink"/>
                <w:noProof/>
              </w:rPr>
              <w:t>FINDINGS – INDIVIDUAL RESILIENCE</w:t>
            </w:r>
            <w:r w:rsidR="00111753">
              <w:rPr>
                <w:noProof/>
                <w:webHidden/>
              </w:rPr>
              <w:tab/>
            </w:r>
            <w:r w:rsidR="00111753">
              <w:rPr>
                <w:noProof/>
                <w:webHidden/>
              </w:rPr>
              <w:fldChar w:fldCharType="begin"/>
            </w:r>
            <w:r w:rsidR="00111753">
              <w:rPr>
                <w:noProof/>
                <w:webHidden/>
              </w:rPr>
              <w:instrText xml:space="preserve"> PAGEREF _Toc460257499 \h </w:instrText>
            </w:r>
            <w:r w:rsidR="00111753">
              <w:rPr>
                <w:noProof/>
                <w:webHidden/>
              </w:rPr>
            </w:r>
            <w:r w:rsidR="00111753">
              <w:rPr>
                <w:noProof/>
                <w:webHidden/>
              </w:rPr>
              <w:fldChar w:fldCharType="separate"/>
            </w:r>
            <w:r w:rsidR="00EA5C86">
              <w:rPr>
                <w:noProof/>
                <w:webHidden/>
              </w:rPr>
              <w:t>25</w:t>
            </w:r>
            <w:r w:rsidR="00111753">
              <w:rPr>
                <w:noProof/>
                <w:webHidden/>
              </w:rPr>
              <w:fldChar w:fldCharType="end"/>
            </w:r>
          </w:hyperlink>
        </w:p>
        <w:p w14:paraId="24746FC5" w14:textId="77777777" w:rsidR="00111753" w:rsidRDefault="005C0B55">
          <w:pPr>
            <w:pStyle w:val="TOC2"/>
            <w:rPr>
              <w:rFonts w:eastAsiaTheme="minorEastAsia"/>
              <w:noProof/>
              <w:lang w:eastAsia="en-AU"/>
            </w:rPr>
          </w:pPr>
          <w:hyperlink w:anchor="_Toc460257500" w:history="1">
            <w:r w:rsidR="00111753" w:rsidRPr="001D191A">
              <w:rPr>
                <w:rStyle w:val="Hyperlink"/>
                <w:rFonts w:eastAsia="Times New Roman"/>
                <w:noProof/>
              </w:rPr>
              <w:t>5.1</w:t>
            </w:r>
            <w:r w:rsidR="00111753">
              <w:rPr>
                <w:rFonts w:eastAsiaTheme="minorEastAsia"/>
                <w:noProof/>
                <w:lang w:eastAsia="en-AU"/>
              </w:rPr>
              <w:tab/>
            </w:r>
            <w:r w:rsidR="00111753" w:rsidRPr="001D191A">
              <w:rPr>
                <w:rStyle w:val="Hyperlink"/>
                <w:rFonts w:eastAsia="Times New Roman"/>
                <w:noProof/>
              </w:rPr>
              <w:t>Informed and confident decision-making</w:t>
            </w:r>
            <w:r w:rsidR="00111753">
              <w:rPr>
                <w:noProof/>
                <w:webHidden/>
              </w:rPr>
              <w:tab/>
            </w:r>
            <w:r w:rsidR="00111753">
              <w:rPr>
                <w:noProof/>
                <w:webHidden/>
              </w:rPr>
              <w:fldChar w:fldCharType="begin"/>
            </w:r>
            <w:r w:rsidR="00111753">
              <w:rPr>
                <w:noProof/>
                <w:webHidden/>
              </w:rPr>
              <w:instrText xml:space="preserve"> PAGEREF _Toc460257500 \h </w:instrText>
            </w:r>
            <w:r w:rsidR="00111753">
              <w:rPr>
                <w:noProof/>
                <w:webHidden/>
              </w:rPr>
            </w:r>
            <w:r w:rsidR="00111753">
              <w:rPr>
                <w:noProof/>
                <w:webHidden/>
              </w:rPr>
              <w:fldChar w:fldCharType="separate"/>
            </w:r>
            <w:r w:rsidR="00EA5C86">
              <w:rPr>
                <w:noProof/>
                <w:webHidden/>
              </w:rPr>
              <w:t>25</w:t>
            </w:r>
            <w:r w:rsidR="00111753">
              <w:rPr>
                <w:noProof/>
                <w:webHidden/>
              </w:rPr>
              <w:fldChar w:fldCharType="end"/>
            </w:r>
          </w:hyperlink>
        </w:p>
        <w:p w14:paraId="21F0A957" w14:textId="77777777" w:rsidR="00111753" w:rsidRDefault="005C0B55">
          <w:pPr>
            <w:pStyle w:val="TOC2"/>
            <w:rPr>
              <w:rFonts w:eastAsiaTheme="minorEastAsia"/>
              <w:noProof/>
              <w:lang w:eastAsia="en-AU"/>
            </w:rPr>
          </w:pPr>
          <w:hyperlink w:anchor="_Toc460257501" w:history="1">
            <w:r w:rsidR="00111753" w:rsidRPr="001D191A">
              <w:rPr>
                <w:rStyle w:val="Hyperlink"/>
                <w:noProof/>
              </w:rPr>
              <w:t>5.2</w:t>
            </w:r>
            <w:r w:rsidR="00111753">
              <w:rPr>
                <w:rFonts w:eastAsiaTheme="minorEastAsia"/>
                <w:noProof/>
                <w:lang w:eastAsia="en-AU"/>
              </w:rPr>
              <w:tab/>
            </w:r>
            <w:r w:rsidR="00111753" w:rsidRPr="001D191A">
              <w:rPr>
                <w:rStyle w:val="Hyperlink"/>
                <w:noProof/>
              </w:rPr>
              <w:t>Community Participation</w:t>
            </w:r>
            <w:r w:rsidR="00111753">
              <w:rPr>
                <w:noProof/>
                <w:webHidden/>
              </w:rPr>
              <w:tab/>
            </w:r>
            <w:r w:rsidR="00111753">
              <w:rPr>
                <w:noProof/>
                <w:webHidden/>
              </w:rPr>
              <w:fldChar w:fldCharType="begin"/>
            </w:r>
            <w:r w:rsidR="00111753">
              <w:rPr>
                <w:noProof/>
                <w:webHidden/>
              </w:rPr>
              <w:instrText xml:space="preserve"> PAGEREF _Toc460257501 \h </w:instrText>
            </w:r>
            <w:r w:rsidR="00111753">
              <w:rPr>
                <w:noProof/>
                <w:webHidden/>
              </w:rPr>
            </w:r>
            <w:r w:rsidR="00111753">
              <w:rPr>
                <w:noProof/>
                <w:webHidden/>
              </w:rPr>
              <w:fldChar w:fldCharType="separate"/>
            </w:r>
            <w:r w:rsidR="00EA5C86">
              <w:rPr>
                <w:noProof/>
                <w:webHidden/>
              </w:rPr>
              <w:t>26</w:t>
            </w:r>
            <w:r w:rsidR="00111753">
              <w:rPr>
                <w:noProof/>
                <w:webHidden/>
              </w:rPr>
              <w:fldChar w:fldCharType="end"/>
            </w:r>
          </w:hyperlink>
        </w:p>
        <w:p w14:paraId="289D411A" w14:textId="77777777" w:rsidR="00111753" w:rsidRDefault="005C0B55">
          <w:pPr>
            <w:pStyle w:val="TOC2"/>
            <w:rPr>
              <w:rFonts w:eastAsiaTheme="minorEastAsia"/>
              <w:noProof/>
              <w:lang w:eastAsia="en-AU"/>
            </w:rPr>
          </w:pPr>
          <w:hyperlink w:anchor="_Toc460257502" w:history="1">
            <w:r w:rsidR="00111753" w:rsidRPr="001D191A">
              <w:rPr>
                <w:rStyle w:val="Hyperlink"/>
                <w:noProof/>
              </w:rPr>
              <w:t>5.3</w:t>
            </w:r>
            <w:r w:rsidR="00111753">
              <w:rPr>
                <w:rFonts w:eastAsiaTheme="minorEastAsia"/>
                <w:noProof/>
                <w:lang w:eastAsia="en-AU"/>
              </w:rPr>
              <w:tab/>
            </w:r>
            <w:r w:rsidR="00111753" w:rsidRPr="001D191A">
              <w:rPr>
                <w:rStyle w:val="Hyperlink"/>
                <w:noProof/>
              </w:rPr>
              <w:t>Cultural aspects</w:t>
            </w:r>
            <w:r w:rsidR="00111753">
              <w:rPr>
                <w:noProof/>
                <w:webHidden/>
              </w:rPr>
              <w:tab/>
            </w:r>
            <w:r w:rsidR="00111753">
              <w:rPr>
                <w:noProof/>
                <w:webHidden/>
              </w:rPr>
              <w:fldChar w:fldCharType="begin"/>
            </w:r>
            <w:r w:rsidR="00111753">
              <w:rPr>
                <w:noProof/>
                <w:webHidden/>
              </w:rPr>
              <w:instrText xml:space="preserve"> PAGEREF _Toc460257502 \h </w:instrText>
            </w:r>
            <w:r w:rsidR="00111753">
              <w:rPr>
                <w:noProof/>
                <w:webHidden/>
              </w:rPr>
            </w:r>
            <w:r w:rsidR="00111753">
              <w:rPr>
                <w:noProof/>
                <w:webHidden/>
              </w:rPr>
              <w:fldChar w:fldCharType="separate"/>
            </w:r>
            <w:r w:rsidR="00EA5C86">
              <w:rPr>
                <w:noProof/>
                <w:webHidden/>
              </w:rPr>
              <w:t>27</w:t>
            </w:r>
            <w:r w:rsidR="00111753">
              <w:rPr>
                <w:noProof/>
                <w:webHidden/>
              </w:rPr>
              <w:fldChar w:fldCharType="end"/>
            </w:r>
          </w:hyperlink>
        </w:p>
        <w:p w14:paraId="33D75BC3" w14:textId="77777777" w:rsidR="00111753" w:rsidRDefault="005C0B55">
          <w:pPr>
            <w:pStyle w:val="TOC2"/>
            <w:rPr>
              <w:rFonts w:eastAsiaTheme="minorEastAsia"/>
              <w:noProof/>
              <w:lang w:eastAsia="en-AU"/>
            </w:rPr>
          </w:pPr>
          <w:hyperlink w:anchor="_Toc460257503" w:history="1">
            <w:r w:rsidR="00111753" w:rsidRPr="001D191A">
              <w:rPr>
                <w:rStyle w:val="Hyperlink"/>
                <w:noProof/>
              </w:rPr>
              <w:t>5.4</w:t>
            </w:r>
            <w:r w:rsidR="00111753">
              <w:rPr>
                <w:rFonts w:eastAsiaTheme="minorEastAsia"/>
                <w:noProof/>
                <w:lang w:eastAsia="en-AU"/>
              </w:rPr>
              <w:tab/>
            </w:r>
            <w:r w:rsidR="00111753" w:rsidRPr="001D191A">
              <w:rPr>
                <w:rStyle w:val="Hyperlink"/>
                <w:noProof/>
              </w:rPr>
              <w:t>Financial capacity</w:t>
            </w:r>
            <w:r w:rsidR="00111753">
              <w:rPr>
                <w:noProof/>
                <w:webHidden/>
              </w:rPr>
              <w:tab/>
            </w:r>
            <w:r w:rsidR="00111753">
              <w:rPr>
                <w:noProof/>
                <w:webHidden/>
              </w:rPr>
              <w:fldChar w:fldCharType="begin"/>
            </w:r>
            <w:r w:rsidR="00111753">
              <w:rPr>
                <w:noProof/>
                <w:webHidden/>
              </w:rPr>
              <w:instrText xml:space="preserve"> PAGEREF _Toc460257503 \h </w:instrText>
            </w:r>
            <w:r w:rsidR="00111753">
              <w:rPr>
                <w:noProof/>
                <w:webHidden/>
              </w:rPr>
            </w:r>
            <w:r w:rsidR="00111753">
              <w:rPr>
                <w:noProof/>
                <w:webHidden/>
              </w:rPr>
              <w:fldChar w:fldCharType="separate"/>
            </w:r>
            <w:r w:rsidR="00EA5C86">
              <w:rPr>
                <w:noProof/>
                <w:webHidden/>
              </w:rPr>
              <w:t>27</w:t>
            </w:r>
            <w:r w:rsidR="00111753">
              <w:rPr>
                <w:noProof/>
                <w:webHidden/>
              </w:rPr>
              <w:fldChar w:fldCharType="end"/>
            </w:r>
          </w:hyperlink>
        </w:p>
        <w:p w14:paraId="67E80F18" w14:textId="77777777" w:rsidR="00111753" w:rsidRDefault="005C0B55">
          <w:pPr>
            <w:pStyle w:val="TOC2"/>
            <w:rPr>
              <w:rFonts w:eastAsiaTheme="minorEastAsia"/>
              <w:noProof/>
              <w:lang w:eastAsia="en-AU"/>
            </w:rPr>
          </w:pPr>
          <w:hyperlink w:anchor="_Toc460257504" w:history="1">
            <w:r w:rsidR="00111753" w:rsidRPr="001D191A">
              <w:rPr>
                <w:rStyle w:val="Hyperlink"/>
                <w:noProof/>
              </w:rPr>
              <w:t>5.5</w:t>
            </w:r>
            <w:r w:rsidR="00111753">
              <w:rPr>
                <w:rFonts w:eastAsiaTheme="minorEastAsia"/>
                <w:noProof/>
                <w:lang w:eastAsia="en-AU"/>
              </w:rPr>
              <w:tab/>
            </w:r>
            <w:r w:rsidR="00111753" w:rsidRPr="001D191A">
              <w:rPr>
                <w:rStyle w:val="Hyperlink"/>
                <w:noProof/>
              </w:rPr>
              <w:t>Financial disincentives to transitioning</w:t>
            </w:r>
            <w:r w:rsidR="00111753">
              <w:rPr>
                <w:noProof/>
                <w:webHidden/>
              </w:rPr>
              <w:tab/>
            </w:r>
            <w:r w:rsidR="00111753">
              <w:rPr>
                <w:noProof/>
                <w:webHidden/>
              </w:rPr>
              <w:fldChar w:fldCharType="begin"/>
            </w:r>
            <w:r w:rsidR="00111753">
              <w:rPr>
                <w:noProof/>
                <w:webHidden/>
              </w:rPr>
              <w:instrText xml:space="preserve"> PAGEREF _Toc460257504 \h </w:instrText>
            </w:r>
            <w:r w:rsidR="00111753">
              <w:rPr>
                <w:noProof/>
                <w:webHidden/>
              </w:rPr>
            </w:r>
            <w:r w:rsidR="00111753">
              <w:rPr>
                <w:noProof/>
                <w:webHidden/>
              </w:rPr>
              <w:fldChar w:fldCharType="separate"/>
            </w:r>
            <w:r w:rsidR="00EA5C86">
              <w:rPr>
                <w:noProof/>
                <w:webHidden/>
              </w:rPr>
              <w:t>28</w:t>
            </w:r>
            <w:r w:rsidR="00111753">
              <w:rPr>
                <w:noProof/>
                <w:webHidden/>
              </w:rPr>
              <w:fldChar w:fldCharType="end"/>
            </w:r>
          </w:hyperlink>
        </w:p>
        <w:p w14:paraId="4C9801F5" w14:textId="77777777" w:rsidR="00111753" w:rsidRDefault="005C0B55">
          <w:pPr>
            <w:pStyle w:val="TOC2"/>
            <w:rPr>
              <w:noProof/>
            </w:rPr>
          </w:pPr>
          <w:hyperlink w:anchor="_Toc460257505" w:history="1">
            <w:r w:rsidR="00111753" w:rsidRPr="001D191A">
              <w:rPr>
                <w:rStyle w:val="Hyperlink"/>
                <w:noProof/>
              </w:rPr>
              <w:t>5.6</w:t>
            </w:r>
            <w:r w:rsidR="00111753">
              <w:rPr>
                <w:rFonts w:eastAsiaTheme="minorEastAsia"/>
                <w:noProof/>
                <w:lang w:eastAsia="en-AU"/>
              </w:rPr>
              <w:tab/>
            </w:r>
            <w:r w:rsidR="00111753" w:rsidRPr="001D191A">
              <w:rPr>
                <w:rStyle w:val="Hyperlink"/>
                <w:noProof/>
              </w:rPr>
              <w:t>Private rental housing</w:t>
            </w:r>
            <w:r w:rsidR="00111753">
              <w:rPr>
                <w:noProof/>
                <w:webHidden/>
              </w:rPr>
              <w:tab/>
            </w:r>
            <w:r w:rsidR="00111753">
              <w:rPr>
                <w:noProof/>
                <w:webHidden/>
              </w:rPr>
              <w:fldChar w:fldCharType="begin"/>
            </w:r>
            <w:r w:rsidR="00111753">
              <w:rPr>
                <w:noProof/>
                <w:webHidden/>
              </w:rPr>
              <w:instrText xml:space="preserve"> PAGEREF _Toc460257505 \h </w:instrText>
            </w:r>
            <w:r w:rsidR="00111753">
              <w:rPr>
                <w:noProof/>
                <w:webHidden/>
              </w:rPr>
            </w:r>
            <w:r w:rsidR="00111753">
              <w:rPr>
                <w:noProof/>
                <w:webHidden/>
              </w:rPr>
              <w:fldChar w:fldCharType="separate"/>
            </w:r>
            <w:r w:rsidR="00EA5C86">
              <w:rPr>
                <w:noProof/>
                <w:webHidden/>
              </w:rPr>
              <w:t>30</w:t>
            </w:r>
            <w:r w:rsidR="00111753">
              <w:rPr>
                <w:noProof/>
                <w:webHidden/>
              </w:rPr>
              <w:fldChar w:fldCharType="end"/>
            </w:r>
          </w:hyperlink>
        </w:p>
        <w:p w14:paraId="14FEFEFE" w14:textId="2985D437" w:rsidR="009D0764" w:rsidRPr="009D0764" w:rsidRDefault="009D0764" w:rsidP="009D0764">
          <w:pPr>
            <w:ind w:left="220"/>
            <w:rPr>
              <w:noProof/>
            </w:rPr>
          </w:pPr>
          <w:r>
            <w:rPr>
              <w:noProof/>
            </w:rPr>
            <w:t xml:space="preserve">5.7       </w:t>
          </w:r>
          <w:r w:rsidR="00460E8D">
            <w:rPr>
              <w:noProof/>
            </w:rPr>
            <w:t xml:space="preserve"> Recommendations - I</w:t>
          </w:r>
          <w:r>
            <w:rPr>
              <w:noProof/>
            </w:rPr>
            <w:t>ndividual resilience…………..………………………………………………………………….</w:t>
          </w:r>
          <w:r w:rsidR="00D061C0">
            <w:rPr>
              <w:noProof/>
            </w:rPr>
            <w:t>3</w:t>
          </w:r>
          <w:r>
            <w:rPr>
              <w:noProof/>
            </w:rPr>
            <w:t>2</w:t>
          </w:r>
        </w:p>
        <w:p w14:paraId="7E8FDF9A" w14:textId="77777777" w:rsidR="00111753" w:rsidRDefault="005C0B55">
          <w:pPr>
            <w:pStyle w:val="TOC1"/>
            <w:tabs>
              <w:tab w:val="left" w:pos="440"/>
              <w:tab w:val="right" w:leader="dot" w:pos="9322"/>
            </w:tabs>
            <w:rPr>
              <w:rFonts w:eastAsiaTheme="minorEastAsia"/>
              <w:noProof/>
              <w:lang w:eastAsia="en-AU"/>
            </w:rPr>
          </w:pPr>
          <w:hyperlink w:anchor="_Toc460257506" w:history="1">
            <w:r w:rsidR="00111753" w:rsidRPr="001D191A">
              <w:rPr>
                <w:rStyle w:val="Hyperlink"/>
                <w:noProof/>
              </w:rPr>
              <w:t>6</w:t>
            </w:r>
            <w:r w:rsidR="00111753">
              <w:rPr>
                <w:rFonts w:eastAsiaTheme="minorEastAsia"/>
                <w:noProof/>
                <w:lang w:eastAsia="en-AU"/>
              </w:rPr>
              <w:tab/>
            </w:r>
            <w:r w:rsidR="00111753" w:rsidRPr="001D191A">
              <w:rPr>
                <w:rStyle w:val="Hyperlink"/>
                <w:noProof/>
              </w:rPr>
              <w:t>FINDINGS – HOME RESILIENCE</w:t>
            </w:r>
            <w:r w:rsidR="00111753">
              <w:rPr>
                <w:noProof/>
                <w:webHidden/>
              </w:rPr>
              <w:tab/>
            </w:r>
            <w:r w:rsidR="00111753">
              <w:rPr>
                <w:noProof/>
                <w:webHidden/>
              </w:rPr>
              <w:fldChar w:fldCharType="begin"/>
            </w:r>
            <w:r w:rsidR="00111753">
              <w:rPr>
                <w:noProof/>
                <w:webHidden/>
              </w:rPr>
              <w:instrText xml:space="preserve"> PAGEREF _Toc460257506 \h </w:instrText>
            </w:r>
            <w:r w:rsidR="00111753">
              <w:rPr>
                <w:noProof/>
                <w:webHidden/>
              </w:rPr>
            </w:r>
            <w:r w:rsidR="00111753">
              <w:rPr>
                <w:noProof/>
                <w:webHidden/>
              </w:rPr>
              <w:fldChar w:fldCharType="separate"/>
            </w:r>
            <w:r w:rsidR="00EA5C86">
              <w:rPr>
                <w:noProof/>
                <w:webHidden/>
              </w:rPr>
              <w:t>34</w:t>
            </w:r>
            <w:r w:rsidR="00111753">
              <w:rPr>
                <w:noProof/>
                <w:webHidden/>
              </w:rPr>
              <w:fldChar w:fldCharType="end"/>
            </w:r>
          </w:hyperlink>
        </w:p>
        <w:p w14:paraId="708221B6" w14:textId="77777777" w:rsidR="00111753" w:rsidRDefault="005C0B55">
          <w:pPr>
            <w:pStyle w:val="TOC2"/>
            <w:rPr>
              <w:rFonts w:eastAsiaTheme="minorEastAsia"/>
              <w:noProof/>
              <w:lang w:eastAsia="en-AU"/>
            </w:rPr>
          </w:pPr>
          <w:hyperlink w:anchor="_Toc460257507" w:history="1">
            <w:r w:rsidR="00111753" w:rsidRPr="001D191A">
              <w:rPr>
                <w:rStyle w:val="Hyperlink"/>
                <w:noProof/>
              </w:rPr>
              <w:t>6.1</w:t>
            </w:r>
            <w:r w:rsidR="00111753">
              <w:rPr>
                <w:rFonts w:eastAsiaTheme="minorEastAsia"/>
                <w:noProof/>
                <w:lang w:eastAsia="en-AU"/>
              </w:rPr>
              <w:tab/>
            </w:r>
            <w:r w:rsidR="00111753" w:rsidRPr="001D191A">
              <w:rPr>
                <w:rStyle w:val="Hyperlink"/>
                <w:noProof/>
              </w:rPr>
              <w:t>Housing services, information, legal and contract options</w:t>
            </w:r>
            <w:r w:rsidR="00111753">
              <w:rPr>
                <w:noProof/>
                <w:webHidden/>
              </w:rPr>
              <w:tab/>
            </w:r>
            <w:r w:rsidR="00111753">
              <w:rPr>
                <w:noProof/>
                <w:webHidden/>
              </w:rPr>
              <w:fldChar w:fldCharType="begin"/>
            </w:r>
            <w:r w:rsidR="00111753">
              <w:rPr>
                <w:noProof/>
                <w:webHidden/>
              </w:rPr>
              <w:instrText xml:space="preserve"> PAGEREF _Toc460257507 \h </w:instrText>
            </w:r>
            <w:r w:rsidR="00111753">
              <w:rPr>
                <w:noProof/>
                <w:webHidden/>
              </w:rPr>
            </w:r>
            <w:r w:rsidR="00111753">
              <w:rPr>
                <w:noProof/>
                <w:webHidden/>
              </w:rPr>
              <w:fldChar w:fldCharType="separate"/>
            </w:r>
            <w:r w:rsidR="00EA5C86">
              <w:rPr>
                <w:noProof/>
                <w:webHidden/>
              </w:rPr>
              <w:t>34</w:t>
            </w:r>
            <w:r w:rsidR="00111753">
              <w:rPr>
                <w:noProof/>
                <w:webHidden/>
              </w:rPr>
              <w:fldChar w:fldCharType="end"/>
            </w:r>
          </w:hyperlink>
        </w:p>
        <w:p w14:paraId="4B542C3E" w14:textId="77777777" w:rsidR="00111753" w:rsidRDefault="005C0B55">
          <w:pPr>
            <w:pStyle w:val="TOC2"/>
            <w:rPr>
              <w:rFonts w:eastAsiaTheme="minorEastAsia"/>
              <w:noProof/>
              <w:lang w:eastAsia="en-AU"/>
            </w:rPr>
          </w:pPr>
          <w:hyperlink w:anchor="_Toc460257508" w:history="1">
            <w:r w:rsidR="00111753" w:rsidRPr="001D191A">
              <w:rPr>
                <w:rStyle w:val="Hyperlink"/>
                <w:noProof/>
              </w:rPr>
              <w:t>6.2</w:t>
            </w:r>
            <w:r w:rsidR="00111753">
              <w:rPr>
                <w:rFonts w:eastAsiaTheme="minorEastAsia"/>
                <w:noProof/>
                <w:lang w:eastAsia="en-AU"/>
              </w:rPr>
              <w:tab/>
            </w:r>
            <w:r w:rsidR="00111753" w:rsidRPr="001D191A">
              <w:rPr>
                <w:rStyle w:val="Hyperlink"/>
                <w:noProof/>
              </w:rPr>
              <w:t>Accessible housing and universal design</w:t>
            </w:r>
            <w:r w:rsidR="00111753">
              <w:rPr>
                <w:noProof/>
                <w:webHidden/>
              </w:rPr>
              <w:tab/>
            </w:r>
            <w:r w:rsidR="00111753">
              <w:rPr>
                <w:noProof/>
                <w:webHidden/>
              </w:rPr>
              <w:fldChar w:fldCharType="begin"/>
            </w:r>
            <w:r w:rsidR="00111753">
              <w:rPr>
                <w:noProof/>
                <w:webHidden/>
              </w:rPr>
              <w:instrText xml:space="preserve"> PAGEREF _Toc460257508 \h </w:instrText>
            </w:r>
            <w:r w:rsidR="00111753">
              <w:rPr>
                <w:noProof/>
                <w:webHidden/>
              </w:rPr>
            </w:r>
            <w:r w:rsidR="00111753">
              <w:rPr>
                <w:noProof/>
                <w:webHidden/>
              </w:rPr>
              <w:fldChar w:fldCharType="separate"/>
            </w:r>
            <w:r w:rsidR="00EA5C86">
              <w:rPr>
                <w:noProof/>
                <w:webHidden/>
              </w:rPr>
              <w:t>35</w:t>
            </w:r>
            <w:r w:rsidR="00111753">
              <w:rPr>
                <w:noProof/>
                <w:webHidden/>
              </w:rPr>
              <w:fldChar w:fldCharType="end"/>
            </w:r>
          </w:hyperlink>
        </w:p>
        <w:p w14:paraId="77321A5D" w14:textId="77777777" w:rsidR="00111753" w:rsidRDefault="005C0B55">
          <w:pPr>
            <w:pStyle w:val="TOC2"/>
            <w:rPr>
              <w:noProof/>
            </w:rPr>
          </w:pPr>
          <w:hyperlink w:anchor="_Toc460257509" w:history="1">
            <w:r w:rsidR="00111753" w:rsidRPr="001D191A">
              <w:rPr>
                <w:rStyle w:val="Hyperlink"/>
                <w:noProof/>
              </w:rPr>
              <w:t>6.3</w:t>
            </w:r>
            <w:r w:rsidR="00111753">
              <w:rPr>
                <w:rFonts w:eastAsiaTheme="minorEastAsia"/>
                <w:noProof/>
                <w:lang w:eastAsia="en-AU"/>
              </w:rPr>
              <w:tab/>
            </w:r>
            <w:r w:rsidR="00111753" w:rsidRPr="001D191A">
              <w:rPr>
                <w:rStyle w:val="Hyperlink"/>
                <w:noProof/>
              </w:rPr>
              <w:t>Older Aboriginal and Torres Strait Islander Queenslanders</w:t>
            </w:r>
            <w:r w:rsidR="00111753">
              <w:rPr>
                <w:noProof/>
                <w:webHidden/>
              </w:rPr>
              <w:tab/>
            </w:r>
            <w:r w:rsidR="00111753">
              <w:rPr>
                <w:noProof/>
                <w:webHidden/>
              </w:rPr>
              <w:fldChar w:fldCharType="begin"/>
            </w:r>
            <w:r w:rsidR="00111753">
              <w:rPr>
                <w:noProof/>
                <w:webHidden/>
              </w:rPr>
              <w:instrText xml:space="preserve"> PAGEREF _Toc460257509 \h </w:instrText>
            </w:r>
            <w:r w:rsidR="00111753">
              <w:rPr>
                <w:noProof/>
                <w:webHidden/>
              </w:rPr>
            </w:r>
            <w:r w:rsidR="00111753">
              <w:rPr>
                <w:noProof/>
                <w:webHidden/>
              </w:rPr>
              <w:fldChar w:fldCharType="separate"/>
            </w:r>
            <w:r w:rsidR="00EA5C86">
              <w:rPr>
                <w:noProof/>
                <w:webHidden/>
              </w:rPr>
              <w:t>37</w:t>
            </w:r>
            <w:r w:rsidR="00111753">
              <w:rPr>
                <w:noProof/>
                <w:webHidden/>
              </w:rPr>
              <w:fldChar w:fldCharType="end"/>
            </w:r>
          </w:hyperlink>
        </w:p>
        <w:p w14:paraId="5CDAC9C6" w14:textId="1E8C8F44" w:rsidR="009D0764" w:rsidRPr="009D0764" w:rsidRDefault="009D0764" w:rsidP="009D0764">
          <w:pPr>
            <w:ind w:left="220"/>
            <w:rPr>
              <w:noProof/>
            </w:rPr>
          </w:pPr>
          <w:r>
            <w:rPr>
              <w:noProof/>
            </w:rPr>
            <w:t>6.4        Recommendations - Home resilience…………………………………………………………………………………….3</w:t>
          </w:r>
          <w:r w:rsidR="00D061C0">
            <w:rPr>
              <w:noProof/>
            </w:rPr>
            <w:t>8</w:t>
          </w:r>
        </w:p>
        <w:p w14:paraId="582A6BCD" w14:textId="77777777" w:rsidR="00111753" w:rsidRDefault="005C0B55">
          <w:pPr>
            <w:pStyle w:val="TOC1"/>
            <w:tabs>
              <w:tab w:val="left" w:pos="440"/>
              <w:tab w:val="right" w:leader="dot" w:pos="9322"/>
            </w:tabs>
            <w:rPr>
              <w:rFonts w:eastAsiaTheme="minorEastAsia"/>
              <w:noProof/>
              <w:lang w:eastAsia="en-AU"/>
            </w:rPr>
          </w:pPr>
          <w:hyperlink w:anchor="_Toc460257510" w:history="1">
            <w:r w:rsidR="00111753" w:rsidRPr="001D191A">
              <w:rPr>
                <w:rStyle w:val="Hyperlink"/>
                <w:rFonts w:eastAsia="Times New Roman"/>
                <w:noProof/>
              </w:rPr>
              <w:t>7</w:t>
            </w:r>
            <w:r w:rsidR="00111753">
              <w:rPr>
                <w:rFonts w:eastAsiaTheme="minorEastAsia"/>
                <w:noProof/>
                <w:lang w:eastAsia="en-AU"/>
              </w:rPr>
              <w:tab/>
            </w:r>
            <w:r w:rsidR="00111753" w:rsidRPr="001D191A">
              <w:rPr>
                <w:rStyle w:val="Hyperlink"/>
                <w:rFonts w:eastAsia="Times New Roman"/>
                <w:noProof/>
              </w:rPr>
              <w:t>FINDINGS – SUITABLE HOUSING OPTIONS</w:t>
            </w:r>
            <w:r w:rsidR="00111753">
              <w:rPr>
                <w:noProof/>
                <w:webHidden/>
              </w:rPr>
              <w:tab/>
            </w:r>
            <w:r w:rsidR="00111753">
              <w:rPr>
                <w:noProof/>
                <w:webHidden/>
              </w:rPr>
              <w:fldChar w:fldCharType="begin"/>
            </w:r>
            <w:r w:rsidR="00111753">
              <w:rPr>
                <w:noProof/>
                <w:webHidden/>
              </w:rPr>
              <w:instrText xml:space="preserve"> PAGEREF _Toc460257510 \h </w:instrText>
            </w:r>
            <w:r w:rsidR="00111753">
              <w:rPr>
                <w:noProof/>
                <w:webHidden/>
              </w:rPr>
            </w:r>
            <w:r w:rsidR="00111753">
              <w:rPr>
                <w:noProof/>
                <w:webHidden/>
              </w:rPr>
              <w:fldChar w:fldCharType="separate"/>
            </w:r>
            <w:r w:rsidR="00EA5C86">
              <w:rPr>
                <w:noProof/>
                <w:webHidden/>
              </w:rPr>
              <w:t>39</w:t>
            </w:r>
            <w:r w:rsidR="00111753">
              <w:rPr>
                <w:noProof/>
                <w:webHidden/>
              </w:rPr>
              <w:fldChar w:fldCharType="end"/>
            </w:r>
          </w:hyperlink>
        </w:p>
        <w:p w14:paraId="6E7687A3" w14:textId="77777777" w:rsidR="00111753" w:rsidRDefault="005C0B55">
          <w:pPr>
            <w:pStyle w:val="TOC2"/>
            <w:rPr>
              <w:rFonts w:eastAsiaTheme="minorEastAsia"/>
              <w:noProof/>
              <w:lang w:eastAsia="en-AU"/>
            </w:rPr>
          </w:pPr>
          <w:hyperlink w:anchor="_Toc460257511" w:history="1">
            <w:r w:rsidR="00111753" w:rsidRPr="001D191A">
              <w:rPr>
                <w:rStyle w:val="Hyperlink"/>
                <w:noProof/>
                <w:lang w:val="en-US"/>
              </w:rPr>
              <w:t>7.1</w:t>
            </w:r>
            <w:r w:rsidR="00111753">
              <w:rPr>
                <w:rFonts w:eastAsiaTheme="minorEastAsia"/>
                <w:noProof/>
                <w:lang w:eastAsia="en-AU"/>
              </w:rPr>
              <w:tab/>
            </w:r>
            <w:r w:rsidR="00111753" w:rsidRPr="001D191A">
              <w:rPr>
                <w:rStyle w:val="Hyperlink"/>
                <w:noProof/>
                <w:lang w:val="en-US"/>
              </w:rPr>
              <w:t>Diversity of accommodation options</w:t>
            </w:r>
            <w:r w:rsidR="00111753">
              <w:rPr>
                <w:noProof/>
                <w:webHidden/>
              </w:rPr>
              <w:tab/>
            </w:r>
            <w:r w:rsidR="00111753">
              <w:rPr>
                <w:noProof/>
                <w:webHidden/>
              </w:rPr>
              <w:fldChar w:fldCharType="begin"/>
            </w:r>
            <w:r w:rsidR="00111753">
              <w:rPr>
                <w:noProof/>
                <w:webHidden/>
              </w:rPr>
              <w:instrText xml:space="preserve"> PAGEREF _Toc460257511 \h </w:instrText>
            </w:r>
            <w:r w:rsidR="00111753">
              <w:rPr>
                <w:noProof/>
                <w:webHidden/>
              </w:rPr>
            </w:r>
            <w:r w:rsidR="00111753">
              <w:rPr>
                <w:noProof/>
                <w:webHidden/>
              </w:rPr>
              <w:fldChar w:fldCharType="separate"/>
            </w:r>
            <w:r w:rsidR="00EA5C86">
              <w:rPr>
                <w:noProof/>
                <w:webHidden/>
              </w:rPr>
              <w:t>39</w:t>
            </w:r>
            <w:r w:rsidR="00111753">
              <w:rPr>
                <w:noProof/>
                <w:webHidden/>
              </w:rPr>
              <w:fldChar w:fldCharType="end"/>
            </w:r>
          </w:hyperlink>
        </w:p>
        <w:p w14:paraId="543E7532" w14:textId="77777777" w:rsidR="00111753" w:rsidRDefault="005C0B55">
          <w:pPr>
            <w:pStyle w:val="TOC2"/>
            <w:rPr>
              <w:rFonts w:eastAsiaTheme="minorEastAsia"/>
              <w:noProof/>
              <w:lang w:eastAsia="en-AU"/>
            </w:rPr>
          </w:pPr>
          <w:hyperlink w:anchor="_Toc460257512" w:history="1">
            <w:r w:rsidR="00111753" w:rsidRPr="001D191A">
              <w:rPr>
                <w:rStyle w:val="Hyperlink"/>
                <w:noProof/>
              </w:rPr>
              <w:t>7.2</w:t>
            </w:r>
            <w:r w:rsidR="00111753">
              <w:rPr>
                <w:rFonts w:eastAsiaTheme="minorEastAsia"/>
                <w:noProof/>
                <w:lang w:eastAsia="en-AU"/>
              </w:rPr>
              <w:tab/>
            </w:r>
            <w:r w:rsidR="00111753" w:rsidRPr="001D191A">
              <w:rPr>
                <w:rStyle w:val="Hyperlink"/>
                <w:noProof/>
              </w:rPr>
              <w:t>Affordability and accessibility of housing</w:t>
            </w:r>
            <w:r w:rsidR="00111753">
              <w:rPr>
                <w:noProof/>
                <w:webHidden/>
              </w:rPr>
              <w:tab/>
            </w:r>
            <w:r w:rsidR="00111753">
              <w:rPr>
                <w:noProof/>
                <w:webHidden/>
              </w:rPr>
              <w:fldChar w:fldCharType="begin"/>
            </w:r>
            <w:r w:rsidR="00111753">
              <w:rPr>
                <w:noProof/>
                <w:webHidden/>
              </w:rPr>
              <w:instrText xml:space="preserve"> PAGEREF _Toc460257512 \h </w:instrText>
            </w:r>
            <w:r w:rsidR="00111753">
              <w:rPr>
                <w:noProof/>
                <w:webHidden/>
              </w:rPr>
            </w:r>
            <w:r w:rsidR="00111753">
              <w:rPr>
                <w:noProof/>
                <w:webHidden/>
              </w:rPr>
              <w:fldChar w:fldCharType="separate"/>
            </w:r>
            <w:r w:rsidR="00EA5C86">
              <w:rPr>
                <w:noProof/>
                <w:webHidden/>
              </w:rPr>
              <w:t>40</w:t>
            </w:r>
            <w:r w:rsidR="00111753">
              <w:rPr>
                <w:noProof/>
                <w:webHidden/>
              </w:rPr>
              <w:fldChar w:fldCharType="end"/>
            </w:r>
          </w:hyperlink>
        </w:p>
        <w:p w14:paraId="7B22D81A" w14:textId="77777777" w:rsidR="00111753" w:rsidRDefault="005C0B55">
          <w:pPr>
            <w:pStyle w:val="TOC2"/>
            <w:rPr>
              <w:rFonts w:eastAsiaTheme="minorEastAsia"/>
              <w:noProof/>
              <w:lang w:eastAsia="en-AU"/>
            </w:rPr>
          </w:pPr>
          <w:hyperlink w:anchor="_Toc460257513" w:history="1">
            <w:r w:rsidR="00111753" w:rsidRPr="001D191A">
              <w:rPr>
                <w:rStyle w:val="Hyperlink"/>
                <w:noProof/>
              </w:rPr>
              <w:t>7.3</w:t>
            </w:r>
            <w:r w:rsidR="00111753">
              <w:rPr>
                <w:rFonts w:eastAsiaTheme="minorEastAsia"/>
                <w:noProof/>
                <w:lang w:eastAsia="en-AU"/>
              </w:rPr>
              <w:tab/>
            </w:r>
            <w:r w:rsidR="00111753" w:rsidRPr="001D191A">
              <w:rPr>
                <w:rStyle w:val="Hyperlink"/>
                <w:noProof/>
              </w:rPr>
              <w:t>Innovative accommodation options</w:t>
            </w:r>
            <w:r w:rsidR="00111753">
              <w:rPr>
                <w:noProof/>
                <w:webHidden/>
              </w:rPr>
              <w:tab/>
            </w:r>
            <w:r w:rsidR="00111753">
              <w:rPr>
                <w:noProof/>
                <w:webHidden/>
              </w:rPr>
              <w:fldChar w:fldCharType="begin"/>
            </w:r>
            <w:r w:rsidR="00111753">
              <w:rPr>
                <w:noProof/>
                <w:webHidden/>
              </w:rPr>
              <w:instrText xml:space="preserve"> PAGEREF _Toc460257513 \h </w:instrText>
            </w:r>
            <w:r w:rsidR="00111753">
              <w:rPr>
                <w:noProof/>
                <w:webHidden/>
              </w:rPr>
            </w:r>
            <w:r w:rsidR="00111753">
              <w:rPr>
                <w:noProof/>
                <w:webHidden/>
              </w:rPr>
              <w:fldChar w:fldCharType="separate"/>
            </w:r>
            <w:r w:rsidR="00EA5C86">
              <w:rPr>
                <w:noProof/>
                <w:webHidden/>
              </w:rPr>
              <w:t>41</w:t>
            </w:r>
            <w:r w:rsidR="00111753">
              <w:rPr>
                <w:noProof/>
                <w:webHidden/>
              </w:rPr>
              <w:fldChar w:fldCharType="end"/>
            </w:r>
          </w:hyperlink>
        </w:p>
        <w:p w14:paraId="02C94E97" w14:textId="77777777" w:rsidR="00111753" w:rsidRDefault="005C0B55">
          <w:pPr>
            <w:pStyle w:val="TOC2"/>
            <w:rPr>
              <w:rFonts w:eastAsiaTheme="minorEastAsia"/>
              <w:noProof/>
              <w:lang w:eastAsia="en-AU"/>
            </w:rPr>
          </w:pPr>
          <w:hyperlink w:anchor="_Toc460257514" w:history="1">
            <w:r w:rsidR="00111753" w:rsidRPr="001D191A">
              <w:rPr>
                <w:rStyle w:val="Hyperlink"/>
                <w:noProof/>
              </w:rPr>
              <w:t>7.4</w:t>
            </w:r>
            <w:r w:rsidR="00111753">
              <w:rPr>
                <w:rFonts w:eastAsiaTheme="minorEastAsia"/>
                <w:noProof/>
                <w:lang w:eastAsia="en-AU"/>
              </w:rPr>
              <w:tab/>
            </w:r>
            <w:r w:rsidR="00111753" w:rsidRPr="001D191A">
              <w:rPr>
                <w:rStyle w:val="Hyperlink"/>
                <w:noProof/>
              </w:rPr>
              <w:t>Community attitudes</w:t>
            </w:r>
            <w:r w:rsidR="00111753">
              <w:rPr>
                <w:noProof/>
                <w:webHidden/>
              </w:rPr>
              <w:tab/>
            </w:r>
            <w:r w:rsidR="00111753">
              <w:rPr>
                <w:noProof/>
                <w:webHidden/>
              </w:rPr>
              <w:fldChar w:fldCharType="begin"/>
            </w:r>
            <w:r w:rsidR="00111753">
              <w:rPr>
                <w:noProof/>
                <w:webHidden/>
              </w:rPr>
              <w:instrText xml:space="preserve"> PAGEREF _Toc460257514 \h </w:instrText>
            </w:r>
            <w:r w:rsidR="00111753">
              <w:rPr>
                <w:noProof/>
                <w:webHidden/>
              </w:rPr>
            </w:r>
            <w:r w:rsidR="00111753">
              <w:rPr>
                <w:noProof/>
                <w:webHidden/>
              </w:rPr>
              <w:fldChar w:fldCharType="separate"/>
            </w:r>
            <w:r w:rsidR="00EA5C86">
              <w:rPr>
                <w:noProof/>
                <w:webHidden/>
              </w:rPr>
              <w:t>44</w:t>
            </w:r>
            <w:r w:rsidR="00111753">
              <w:rPr>
                <w:noProof/>
                <w:webHidden/>
              </w:rPr>
              <w:fldChar w:fldCharType="end"/>
            </w:r>
          </w:hyperlink>
        </w:p>
        <w:p w14:paraId="7FD8B4F8" w14:textId="77777777" w:rsidR="00111753" w:rsidRDefault="005C0B55">
          <w:pPr>
            <w:pStyle w:val="TOC2"/>
            <w:rPr>
              <w:rFonts w:eastAsiaTheme="minorEastAsia"/>
              <w:noProof/>
              <w:lang w:eastAsia="en-AU"/>
            </w:rPr>
          </w:pPr>
          <w:hyperlink w:anchor="_Toc460257515" w:history="1">
            <w:r w:rsidR="00111753" w:rsidRPr="001D191A">
              <w:rPr>
                <w:rStyle w:val="Hyperlink"/>
                <w:noProof/>
              </w:rPr>
              <w:t>7.5</w:t>
            </w:r>
            <w:r w:rsidR="00111753">
              <w:rPr>
                <w:rFonts w:eastAsiaTheme="minorEastAsia"/>
                <w:noProof/>
                <w:lang w:eastAsia="en-AU"/>
              </w:rPr>
              <w:tab/>
            </w:r>
            <w:r w:rsidR="00111753" w:rsidRPr="001D191A">
              <w:rPr>
                <w:rStyle w:val="Hyperlink"/>
                <w:noProof/>
              </w:rPr>
              <w:t>Regional and remote communities</w:t>
            </w:r>
            <w:r w:rsidR="00111753">
              <w:rPr>
                <w:noProof/>
                <w:webHidden/>
              </w:rPr>
              <w:tab/>
            </w:r>
            <w:r w:rsidR="00111753">
              <w:rPr>
                <w:noProof/>
                <w:webHidden/>
              </w:rPr>
              <w:fldChar w:fldCharType="begin"/>
            </w:r>
            <w:r w:rsidR="00111753">
              <w:rPr>
                <w:noProof/>
                <w:webHidden/>
              </w:rPr>
              <w:instrText xml:space="preserve"> PAGEREF _Toc460257515 \h </w:instrText>
            </w:r>
            <w:r w:rsidR="00111753">
              <w:rPr>
                <w:noProof/>
                <w:webHidden/>
              </w:rPr>
            </w:r>
            <w:r w:rsidR="00111753">
              <w:rPr>
                <w:noProof/>
                <w:webHidden/>
              </w:rPr>
              <w:fldChar w:fldCharType="separate"/>
            </w:r>
            <w:r w:rsidR="00EA5C86">
              <w:rPr>
                <w:noProof/>
                <w:webHidden/>
              </w:rPr>
              <w:t>45</w:t>
            </w:r>
            <w:r w:rsidR="00111753">
              <w:rPr>
                <w:noProof/>
                <w:webHidden/>
              </w:rPr>
              <w:fldChar w:fldCharType="end"/>
            </w:r>
          </w:hyperlink>
        </w:p>
        <w:p w14:paraId="37A37E31" w14:textId="77777777" w:rsidR="00111753" w:rsidRDefault="005C0B55">
          <w:pPr>
            <w:pStyle w:val="TOC2"/>
            <w:rPr>
              <w:rFonts w:eastAsiaTheme="minorEastAsia"/>
              <w:noProof/>
              <w:lang w:eastAsia="en-AU"/>
            </w:rPr>
          </w:pPr>
          <w:hyperlink w:anchor="_Toc460257516" w:history="1">
            <w:r w:rsidR="00111753" w:rsidRPr="001D191A">
              <w:rPr>
                <w:rStyle w:val="Hyperlink"/>
                <w:noProof/>
              </w:rPr>
              <w:t>7.6</w:t>
            </w:r>
            <w:r w:rsidR="00111753">
              <w:rPr>
                <w:rFonts w:eastAsiaTheme="minorEastAsia"/>
                <w:noProof/>
                <w:lang w:eastAsia="en-AU"/>
              </w:rPr>
              <w:tab/>
            </w:r>
            <w:r w:rsidR="00111753" w:rsidRPr="001D191A">
              <w:rPr>
                <w:rStyle w:val="Hyperlink"/>
                <w:noProof/>
              </w:rPr>
              <w:t>Diversity of financial options</w:t>
            </w:r>
            <w:r w:rsidR="00111753">
              <w:rPr>
                <w:noProof/>
                <w:webHidden/>
              </w:rPr>
              <w:tab/>
            </w:r>
            <w:r w:rsidR="00111753">
              <w:rPr>
                <w:noProof/>
                <w:webHidden/>
              </w:rPr>
              <w:fldChar w:fldCharType="begin"/>
            </w:r>
            <w:r w:rsidR="00111753">
              <w:rPr>
                <w:noProof/>
                <w:webHidden/>
              </w:rPr>
              <w:instrText xml:space="preserve"> PAGEREF _Toc460257516 \h </w:instrText>
            </w:r>
            <w:r w:rsidR="00111753">
              <w:rPr>
                <w:noProof/>
                <w:webHidden/>
              </w:rPr>
            </w:r>
            <w:r w:rsidR="00111753">
              <w:rPr>
                <w:noProof/>
                <w:webHidden/>
              </w:rPr>
              <w:fldChar w:fldCharType="separate"/>
            </w:r>
            <w:r w:rsidR="00EA5C86">
              <w:rPr>
                <w:noProof/>
                <w:webHidden/>
              </w:rPr>
              <w:t>46</w:t>
            </w:r>
            <w:r w:rsidR="00111753">
              <w:rPr>
                <w:noProof/>
                <w:webHidden/>
              </w:rPr>
              <w:fldChar w:fldCharType="end"/>
            </w:r>
          </w:hyperlink>
        </w:p>
        <w:p w14:paraId="162CDE04" w14:textId="77777777" w:rsidR="00111753" w:rsidRDefault="005C0B55">
          <w:pPr>
            <w:pStyle w:val="TOC2"/>
            <w:rPr>
              <w:rFonts w:eastAsiaTheme="minorEastAsia"/>
              <w:noProof/>
              <w:lang w:eastAsia="en-AU"/>
            </w:rPr>
          </w:pPr>
          <w:hyperlink w:anchor="_Toc460257517" w:history="1">
            <w:r w:rsidR="00111753" w:rsidRPr="001D191A">
              <w:rPr>
                <w:rStyle w:val="Hyperlink"/>
                <w:noProof/>
              </w:rPr>
              <w:t>7.7</w:t>
            </w:r>
            <w:r w:rsidR="00111753">
              <w:rPr>
                <w:rFonts w:eastAsiaTheme="minorEastAsia"/>
                <w:noProof/>
                <w:lang w:eastAsia="en-AU"/>
              </w:rPr>
              <w:tab/>
            </w:r>
            <w:r w:rsidR="00111753" w:rsidRPr="001D191A">
              <w:rPr>
                <w:rStyle w:val="Hyperlink"/>
                <w:noProof/>
              </w:rPr>
              <w:t>Aged care</w:t>
            </w:r>
            <w:r w:rsidR="00111753">
              <w:rPr>
                <w:noProof/>
                <w:webHidden/>
              </w:rPr>
              <w:tab/>
            </w:r>
            <w:r w:rsidR="00111753">
              <w:rPr>
                <w:noProof/>
                <w:webHidden/>
              </w:rPr>
              <w:fldChar w:fldCharType="begin"/>
            </w:r>
            <w:r w:rsidR="00111753">
              <w:rPr>
                <w:noProof/>
                <w:webHidden/>
              </w:rPr>
              <w:instrText xml:space="preserve"> PAGEREF _Toc460257517 \h </w:instrText>
            </w:r>
            <w:r w:rsidR="00111753">
              <w:rPr>
                <w:noProof/>
                <w:webHidden/>
              </w:rPr>
            </w:r>
            <w:r w:rsidR="00111753">
              <w:rPr>
                <w:noProof/>
                <w:webHidden/>
              </w:rPr>
              <w:fldChar w:fldCharType="separate"/>
            </w:r>
            <w:r w:rsidR="00EA5C86">
              <w:rPr>
                <w:noProof/>
                <w:webHidden/>
              </w:rPr>
              <w:t>46</w:t>
            </w:r>
            <w:r w:rsidR="00111753">
              <w:rPr>
                <w:noProof/>
                <w:webHidden/>
              </w:rPr>
              <w:fldChar w:fldCharType="end"/>
            </w:r>
          </w:hyperlink>
        </w:p>
        <w:p w14:paraId="524E0C7B" w14:textId="77777777" w:rsidR="00111753" w:rsidRDefault="005C0B55">
          <w:pPr>
            <w:pStyle w:val="TOC2"/>
            <w:rPr>
              <w:rFonts w:eastAsiaTheme="minorEastAsia"/>
              <w:noProof/>
              <w:lang w:eastAsia="en-AU"/>
            </w:rPr>
          </w:pPr>
          <w:hyperlink w:anchor="_Toc460257518" w:history="1">
            <w:r w:rsidR="00111753" w:rsidRPr="001D191A">
              <w:rPr>
                <w:rStyle w:val="Hyperlink"/>
                <w:noProof/>
              </w:rPr>
              <w:t>7.8</w:t>
            </w:r>
            <w:r w:rsidR="00111753">
              <w:rPr>
                <w:rFonts w:eastAsiaTheme="minorEastAsia"/>
                <w:noProof/>
                <w:lang w:eastAsia="en-AU"/>
              </w:rPr>
              <w:tab/>
            </w:r>
            <w:r w:rsidR="00111753" w:rsidRPr="001D191A">
              <w:rPr>
                <w:rStyle w:val="Hyperlink"/>
                <w:noProof/>
              </w:rPr>
              <w:t>Retirement villages</w:t>
            </w:r>
            <w:r w:rsidR="00111753">
              <w:rPr>
                <w:noProof/>
                <w:webHidden/>
              </w:rPr>
              <w:tab/>
            </w:r>
            <w:r w:rsidR="00111753">
              <w:rPr>
                <w:noProof/>
                <w:webHidden/>
              </w:rPr>
              <w:fldChar w:fldCharType="begin"/>
            </w:r>
            <w:r w:rsidR="00111753">
              <w:rPr>
                <w:noProof/>
                <w:webHidden/>
              </w:rPr>
              <w:instrText xml:space="preserve"> PAGEREF _Toc460257518 \h </w:instrText>
            </w:r>
            <w:r w:rsidR="00111753">
              <w:rPr>
                <w:noProof/>
                <w:webHidden/>
              </w:rPr>
            </w:r>
            <w:r w:rsidR="00111753">
              <w:rPr>
                <w:noProof/>
                <w:webHidden/>
              </w:rPr>
              <w:fldChar w:fldCharType="separate"/>
            </w:r>
            <w:r w:rsidR="00EA5C86">
              <w:rPr>
                <w:noProof/>
                <w:webHidden/>
              </w:rPr>
              <w:t>48</w:t>
            </w:r>
            <w:r w:rsidR="00111753">
              <w:rPr>
                <w:noProof/>
                <w:webHidden/>
              </w:rPr>
              <w:fldChar w:fldCharType="end"/>
            </w:r>
          </w:hyperlink>
        </w:p>
        <w:p w14:paraId="17419A09" w14:textId="77777777" w:rsidR="00111753" w:rsidRDefault="005C0B55">
          <w:pPr>
            <w:pStyle w:val="TOC2"/>
            <w:rPr>
              <w:rFonts w:eastAsiaTheme="minorEastAsia"/>
              <w:noProof/>
              <w:lang w:eastAsia="en-AU"/>
            </w:rPr>
          </w:pPr>
          <w:hyperlink w:anchor="_Toc460257519" w:history="1">
            <w:r w:rsidR="00111753" w:rsidRPr="001D191A">
              <w:rPr>
                <w:rStyle w:val="Hyperlink"/>
                <w:noProof/>
              </w:rPr>
              <w:t>7.9</w:t>
            </w:r>
            <w:r w:rsidR="00111753">
              <w:rPr>
                <w:rFonts w:eastAsiaTheme="minorEastAsia"/>
                <w:noProof/>
                <w:lang w:eastAsia="en-AU"/>
              </w:rPr>
              <w:tab/>
            </w:r>
            <w:r w:rsidR="00111753" w:rsidRPr="001D191A">
              <w:rPr>
                <w:rStyle w:val="Hyperlink"/>
                <w:noProof/>
              </w:rPr>
              <w:t>Manufactured Homes</w:t>
            </w:r>
            <w:r w:rsidR="00111753">
              <w:rPr>
                <w:noProof/>
                <w:webHidden/>
              </w:rPr>
              <w:tab/>
            </w:r>
            <w:r w:rsidR="00111753">
              <w:rPr>
                <w:noProof/>
                <w:webHidden/>
              </w:rPr>
              <w:fldChar w:fldCharType="begin"/>
            </w:r>
            <w:r w:rsidR="00111753">
              <w:rPr>
                <w:noProof/>
                <w:webHidden/>
              </w:rPr>
              <w:instrText xml:space="preserve"> PAGEREF _Toc460257519 \h </w:instrText>
            </w:r>
            <w:r w:rsidR="00111753">
              <w:rPr>
                <w:noProof/>
                <w:webHidden/>
              </w:rPr>
            </w:r>
            <w:r w:rsidR="00111753">
              <w:rPr>
                <w:noProof/>
                <w:webHidden/>
              </w:rPr>
              <w:fldChar w:fldCharType="separate"/>
            </w:r>
            <w:r w:rsidR="00EA5C86">
              <w:rPr>
                <w:noProof/>
                <w:webHidden/>
              </w:rPr>
              <w:t>48</w:t>
            </w:r>
            <w:r w:rsidR="00111753">
              <w:rPr>
                <w:noProof/>
                <w:webHidden/>
              </w:rPr>
              <w:fldChar w:fldCharType="end"/>
            </w:r>
          </w:hyperlink>
        </w:p>
        <w:p w14:paraId="4ABF0C75" w14:textId="77777777" w:rsidR="00111753" w:rsidRDefault="005C0B55">
          <w:pPr>
            <w:pStyle w:val="TOC2"/>
            <w:rPr>
              <w:noProof/>
            </w:rPr>
          </w:pPr>
          <w:hyperlink w:anchor="_Toc460257520" w:history="1">
            <w:r w:rsidR="00111753" w:rsidRPr="001D191A">
              <w:rPr>
                <w:rStyle w:val="Hyperlink"/>
                <w:noProof/>
              </w:rPr>
              <w:t>7.10</w:t>
            </w:r>
            <w:r w:rsidR="00111753">
              <w:rPr>
                <w:rFonts w:eastAsiaTheme="minorEastAsia"/>
                <w:noProof/>
                <w:lang w:eastAsia="en-AU"/>
              </w:rPr>
              <w:tab/>
            </w:r>
            <w:r w:rsidR="00111753" w:rsidRPr="001D191A">
              <w:rPr>
                <w:rStyle w:val="Hyperlink"/>
                <w:noProof/>
              </w:rPr>
              <w:t>Homelessness</w:t>
            </w:r>
            <w:r w:rsidR="00111753">
              <w:rPr>
                <w:noProof/>
                <w:webHidden/>
              </w:rPr>
              <w:tab/>
            </w:r>
            <w:r w:rsidR="00111753">
              <w:rPr>
                <w:noProof/>
                <w:webHidden/>
              </w:rPr>
              <w:fldChar w:fldCharType="begin"/>
            </w:r>
            <w:r w:rsidR="00111753">
              <w:rPr>
                <w:noProof/>
                <w:webHidden/>
              </w:rPr>
              <w:instrText xml:space="preserve"> PAGEREF _Toc460257520 \h </w:instrText>
            </w:r>
            <w:r w:rsidR="00111753">
              <w:rPr>
                <w:noProof/>
                <w:webHidden/>
              </w:rPr>
            </w:r>
            <w:r w:rsidR="00111753">
              <w:rPr>
                <w:noProof/>
                <w:webHidden/>
              </w:rPr>
              <w:fldChar w:fldCharType="separate"/>
            </w:r>
            <w:r w:rsidR="00EA5C86">
              <w:rPr>
                <w:noProof/>
                <w:webHidden/>
              </w:rPr>
              <w:t>49</w:t>
            </w:r>
            <w:r w:rsidR="00111753">
              <w:rPr>
                <w:noProof/>
                <w:webHidden/>
              </w:rPr>
              <w:fldChar w:fldCharType="end"/>
            </w:r>
          </w:hyperlink>
        </w:p>
        <w:p w14:paraId="1CBED069" w14:textId="62EBFB94" w:rsidR="009D0764" w:rsidRPr="009D0764" w:rsidRDefault="009D0764" w:rsidP="009D0764">
          <w:pPr>
            <w:ind w:left="220"/>
            <w:rPr>
              <w:noProof/>
            </w:rPr>
          </w:pPr>
          <w:r>
            <w:rPr>
              <w:noProof/>
            </w:rPr>
            <w:t>7.11      Recommendations - Suitable housing options……………………………………………………………………….50</w:t>
          </w:r>
        </w:p>
        <w:p w14:paraId="1E4DBF65" w14:textId="77777777" w:rsidR="00111753" w:rsidRDefault="005C0B55">
          <w:pPr>
            <w:pStyle w:val="TOC1"/>
            <w:tabs>
              <w:tab w:val="left" w:pos="440"/>
              <w:tab w:val="right" w:leader="dot" w:pos="9322"/>
            </w:tabs>
            <w:rPr>
              <w:rFonts w:eastAsiaTheme="minorEastAsia"/>
              <w:noProof/>
              <w:lang w:eastAsia="en-AU"/>
            </w:rPr>
          </w:pPr>
          <w:hyperlink w:anchor="_Toc460257521" w:history="1">
            <w:r w:rsidR="00111753" w:rsidRPr="001D191A">
              <w:rPr>
                <w:rStyle w:val="Hyperlink"/>
                <w:rFonts w:eastAsia="Times New Roman"/>
                <w:noProof/>
              </w:rPr>
              <w:t>8</w:t>
            </w:r>
            <w:r w:rsidR="00111753">
              <w:rPr>
                <w:rFonts w:eastAsiaTheme="minorEastAsia"/>
                <w:noProof/>
                <w:lang w:eastAsia="en-AU"/>
              </w:rPr>
              <w:tab/>
            </w:r>
            <w:r w:rsidR="00111753" w:rsidRPr="001D191A">
              <w:rPr>
                <w:rStyle w:val="Hyperlink"/>
                <w:rFonts w:eastAsia="Times New Roman"/>
                <w:noProof/>
              </w:rPr>
              <w:t>FINDINGS – SUITABLE LOCAL COMMUNITY SERVICES</w:t>
            </w:r>
            <w:r w:rsidR="00111753">
              <w:rPr>
                <w:noProof/>
                <w:webHidden/>
              </w:rPr>
              <w:tab/>
            </w:r>
            <w:r w:rsidR="00111753">
              <w:rPr>
                <w:noProof/>
                <w:webHidden/>
              </w:rPr>
              <w:fldChar w:fldCharType="begin"/>
            </w:r>
            <w:r w:rsidR="00111753">
              <w:rPr>
                <w:noProof/>
                <w:webHidden/>
              </w:rPr>
              <w:instrText xml:space="preserve"> PAGEREF _Toc460257521 \h </w:instrText>
            </w:r>
            <w:r w:rsidR="00111753">
              <w:rPr>
                <w:noProof/>
                <w:webHidden/>
              </w:rPr>
            </w:r>
            <w:r w:rsidR="00111753">
              <w:rPr>
                <w:noProof/>
                <w:webHidden/>
              </w:rPr>
              <w:fldChar w:fldCharType="separate"/>
            </w:r>
            <w:r w:rsidR="00EA5C86">
              <w:rPr>
                <w:noProof/>
                <w:webHidden/>
              </w:rPr>
              <w:t>53</w:t>
            </w:r>
            <w:r w:rsidR="00111753">
              <w:rPr>
                <w:noProof/>
                <w:webHidden/>
              </w:rPr>
              <w:fldChar w:fldCharType="end"/>
            </w:r>
          </w:hyperlink>
        </w:p>
        <w:p w14:paraId="27B445D5" w14:textId="77777777" w:rsidR="00111753" w:rsidRDefault="005C0B55">
          <w:pPr>
            <w:pStyle w:val="TOC2"/>
            <w:rPr>
              <w:rFonts w:eastAsiaTheme="minorEastAsia"/>
              <w:noProof/>
              <w:lang w:eastAsia="en-AU"/>
            </w:rPr>
          </w:pPr>
          <w:hyperlink w:anchor="_Toc460257522" w:history="1">
            <w:r w:rsidR="00111753" w:rsidRPr="001D191A">
              <w:rPr>
                <w:rStyle w:val="Hyperlink"/>
                <w:noProof/>
              </w:rPr>
              <w:t>8.1</w:t>
            </w:r>
            <w:r w:rsidR="00111753">
              <w:rPr>
                <w:rFonts w:eastAsiaTheme="minorEastAsia"/>
                <w:noProof/>
                <w:lang w:eastAsia="en-AU"/>
              </w:rPr>
              <w:tab/>
            </w:r>
            <w:r w:rsidR="00111753" w:rsidRPr="001D191A">
              <w:rPr>
                <w:rStyle w:val="Hyperlink"/>
                <w:noProof/>
              </w:rPr>
              <w:t>Services that support age friendly communities</w:t>
            </w:r>
            <w:r w:rsidR="00111753">
              <w:rPr>
                <w:noProof/>
                <w:webHidden/>
              </w:rPr>
              <w:tab/>
            </w:r>
            <w:r w:rsidR="00111753">
              <w:rPr>
                <w:noProof/>
                <w:webHidden/>
              </w:rPr>
              <w:fldChar w:fldCharType="begin"/>
            </w:r>
            <w:r w:rsidR="00111753">
              <w:rPr>
                <w:noProof/>
                <w:webHidden/>
              </w:rPr>
              <w:instrText xml:space="preserve"> PAGEREF _Toc460257522 \h </w:instrText>
            </w:r>
            <w:r w:rsidR="00111753">
              <w:rPr>
                <w:noProof/>
                <w:webHidden/>
              </w:rPr>
            </w:r>
            <w:r w:rsidR="00111753">
              <w:rPr>
                <w:noProof/>
                <w:webHidden/>
              </w:rPr>
              <w:fldChar w:fldCharType="separate"/>
            </w:r>
            <w:r w:rsidR="00EA5C86">
              <w:rPr>
                <w:noProof/>
                <w:webHidden/>
              </w:rPr>
              <w:t>53</w:t>
            </w:r>
            <w:r w:rsidR="00111753">
              <w:rPr>
                <w:noProof/>
                <w:webHidden/>
              </w:rPr>
              <w:fldChar w:fldCharType="end"/>
            </w:r>
          </w:hyperlink>
        </w:p>
        <w:p w14:paraId="49E7C270" w14:textId="77777777" w:rsidR="00111753" w:rsidRDefault="005C0B55">
          <w:pPr>
            <w:pStyle w:val="TOC2"/>
            <w:rPr>
              <w:noProof/>
            </w:rPr>
          </w:pPr>
          <w:hyperlink w:anchor="_Toc460257523" w:history="1">
            <w:r w:rsidR="00111753" w:rsidRPr="001D191A">
              <w:rPr>
                <w:rStyle w:val="Hyperlink"/>
                <w:rFonts w:eastAsia="Times New Roman"/>
                <w:noProof/>
              </w:rPr>
              <w:t>8.2</w:t>
            </w:r>
            <w:r w:rsidR="00111753">
              <w:rPr>
                <w:rFonts w:eastAsiaTheme="minorEastAsia"/>
                <w:noProof/>
                <w:lang w:eastAsia="en-AU"/>
              </w:rPr>
              <w:tab/>
            </w:r>
            <w:r w:rsidR="00111753" w:rsidRPr="001D191A">
              <w:rPr>
                <w:rStyle w:val="Hyperlink"/>
                <w:rFonts w:eastAsia="Times New Roman"/>
                <w:noProof/>
              </w:rPr>
              <w:t>Technology</w:t>
            </w:r>
            <w:r w:rsidR="00111753">
              <w:rPr>
                <w:noProof/>
                <w:webHidden/>
              </w:rPr>
              <w:tab/>
            </w:r>
            <w:r w:rsidR="00111753">
              <w:rPr>
                <w:noProof/>
                <w:webHidden/>
              </w:rPr>
              <w:fldChar w:fldCharType="begin"/>
            </w:r>
            <w:r w:rsidR="00111753">
              <w:rPr>
                <w:noProof/>
                <w:webHidden/>
              </w:rPr>
              <w:instrText xml:space="preserve"> PAGEREF _Toc460257523 \h </w:instrText>
            </w:r>
            <w:r w:rsidR="00111753">
              <w:rPr>
                <w:noProof/>
                <w:webHidden/>
              </w:rPr>
            </w:r>
            <w:r w:rsidR="00111753">
              <w:rPr>
                <w:noProof/>
                <w:webHidden/>
              </w:rPr>
              <w:fldChar w:fldCharType="separate"/>
            </w:r>
            <w:r w:rsidR="00EA5C86">
              <w:rPr>
                <w:noProof/>
                <w:webHidden/>
              </w:rPr>
              <w:t>54</w:t>
            </w:r>
            <w:r w:rsidR="00111753">
              <w:rPr>
                <w:noProof/>
                <w:webHidden/>
              </w:rPr>
              <w:fldChar w:fldCharType="end"/>
            </w:r>
          </w:hyperlink>
        </w:p>
        <w:p w14:paraId="220D62B2" w14:textId="4B3750DD" w:rsidR="00402607" w:rsidRPr="00402607" w:rsidRDefault="00402607" w:rsidP="00402607">
          <w:pPr>
            <w:ind w:left="220"/>
            <w:rPr>
              <w:noProof/>
            </w:rPr>
          </w:pPr>
          <w:r>
            <w:rPr>
              <w:noProof/>
            </w:rPr>
            <w:t>8.3        Recommendations - Suitable local community services………………………………………………………..5</w:t>
          </w:r>
          <w:r w:rsidR="00D061C0">
            <w:rPr>
              <w:noProof/>
            </w:rPr>
            <w:t>6</w:t>
          </w:r>
        </w:p>
        <w:p w14:paraId="5B1B1628" w14:textId="77777777" w:rsidR="00111753" w:rsidRDefault="005C0B55">
          <w:pPr>
            <w:pStyle w:val="TOC1"/>
            <w:tabs>
              <w:tab w:val="left" w:pos="440"/>
              <w:tab w:val="right" w:leader="dot" w:pos="9322"/>
            </w:tabs>
            <w:rPr>
              <w:rFonts w:eastAsiaTheme="minorEastAsia"/>
              <w:noProof/>
              <w:lang w:eastAsia="en-AU"/>
            </w:rPr>
          </w:pPr>
          <w:hyperlink w:anchor="_Toc460257524" w:history="1">
            <w:r w:rsidR="00111753" w:rsidRPr="001D191A">
              <w:rPr>
                <w:rStyle w:val="Hyperlink"/>
                <w:noProof/>
              </w:rPr>
              <w:t>9</w:t>
            </w:r>
            <w:r w:rsidR="00111753">
              <w:rPr>
                <w:rFonts w:eastAsiaTheme="minorEastAsia"/>
                <w:noProof/>
                <w:lang w:eastAsia="en-AU"/>
              </w:rPr>
              <w:tab/>
            </w:r>
            <w:r w:rsidR="00111753" w:rsidRPr="001D191A">
              <w:rPr>
                <w:rStyle w:val="Hyperlink"/>
                <w:noProof/>
              </w:rPr>
              <w:t>CONCLUSION</w:t>
            </w:r>
            <w:r w:rsidR="00111753">
              <w:rPr>
                <w:noProof/>
                <w:webHidden/>
              </w:rPr>
              <w:tab/>
            </w:r>
            <w:r w:rsidR="00111753">
              <w:rPr>
                <w:noProof/>
                <w:webHidden/>
              </w:rPr>
              <w:fldChar w:fldCharType="begin"/>
            </w:r>
            <w:r w:rsidR="00111753">
              <w:rPr>
                <w:noProof/>
                <w:webHidden/>
              </w:rPr>
              <w:instrText xml:space="preserve"> PAGEREF _Toc460257524 \h </w:instrText>
            </w:r>
            <w:r w:rsidR="00111753">
              <w:rPr>
                <w:noProof/>
                <w:webHidden/>
              </w:rPr>
            </w:r>
            <w:r w:rsidR="00111753">
              <w:rPr>
                <w:noProof/>
                <w:webHidden/>
              </w:rPr>
              <w:fldChar w:fldCharType="separate"/>
            </w:r>
            <w:r w:rsidR="00EA5C86">
              <w:rPr>
                <w:noProof/>
                <w:webHidden/>
              </w:rPr>
              <w:t>57</w:t>
            </w:r>
            <w:r w:rsidR="00111753">
              <w:rPr>
                <w:noProof/>
                <w:webHidden/>
              </w:rPr>
              <w:fldChar w:fldCharType="end"/>
            </w:r>
          </w:hyperlink>
        </w:p>
        <w:p w14:paraId="392DE3B5" w14:textId="77777777" w:rsidR="00111753" w:rsidRDefault="005C0B55">
          <w:pPr>
            <w:pStyle w:val="TOC1"/>
            <w:tabs>
              <w:tab w:val="right" w:leader="dot" w:pos="9322"/>
            </w:tabs>
            <w:rPr>
              <w:rFonts w:eastAsiaTheme="minorEastAsia"/>
              <w:noProof/>
              <w:lang w:eastAsia="en-AU"/>
            </w:rPr>
          </w:pPr>
          <w:hyperlink w:anchor="_Toc460257525" w:history="1">
            <w:r w:rsidR="00111753" w:rsidRPr="001D191A">
              <w:rPr>
                <w:rStyle w:val="Hyperlink"/>
                <w:noProof/>
              </w:rPr>
              <w:t>BIBLIOGRAPHY</w:t>
            </w:r>
            <w:r w:rsidR="00111753">
              <w:rPr>
                <w:noProof/>
                <w:webHidden/>
              </w:rPr>
              <w:tab/>
            </w:r>
            <w:r w:rsidR="00111753">
              <w:rPr>
                <w:noProof/>
                <w:webHidden/>
              </w:rPr>
              <w:fldChar w:fldCharType="begin"/>
            </w:r>
            <w:r w:rsidR="00111753">
              <w:rPr>
                <w:noProof/>
                <w:webHidden/>
              </w:rPr>
              <w:instrText xml:space="preserve"> PAGEREF _Toc460257525 \h </w:instrText>
            </w:r>
            <w:r w:rsidR="00111753">
              <w:rPr>
                <w:noProof/>
                <w:webHidden/>
              </w:rPr>
            </w:r>
            <w:r w:rsidR="00111753">
              <w:rPr>
                <w:noProof/>
                <w:webHidden/>
              </w:rPr>
              <w:fldChar w:fldCharType="separate"/>
            </w:r>
            <w:r w:rsidR="00EA5C86">
              <w:rPr>
                <w:noProof/>
                <w:webHidden/>
              </w:rPr>
              <w:t>58</w:t>
            </w:r>
            <w:r w:rsidR="00111753">
              <w:rPr>
                <w:noProof/>
                <w:webHidden/>
              </w:rPr>
              <w:fldChar w:fldCharType="end"/>
            </w:r>
          </w:hyperlink>
        </w:p>
        <w:p w14:paraId="3085752A" w14:textId="77777777" w:rsidR="00111753" w:rsidRDefault="005C0B55">
          <w:pPr>
            <w:pStyle w:val="TOC1"/>
            <w:tabs>
              <w:tab w:val="right" w:leader="dot" w:pos="9322"/>
            </w:tabs>
            <w:rPr>
              <w:rFonts w:eastAsiaTheme="minorEastAsia"/>
              <w:noProof/>
              <w:lang w:eastAsia="en-AU"/>
            </w:rPr>
          </w:pPr>
          <w:hyperlink w:anchor="_Toc460257526" w:history="1">
            <w:r w:rsidR="00111753" w:rsidRPr="001D191A">
              <w:rPr>
                <w:rStyle w:val="Hyperlink"/>
                <w:noProof/>
              </w:rPr>
              <w:t>APPENDICES</w:t>
            </w:r>
            <w:r w:rsidR="00111753">
              <w:rPr>
                <w:noProof/>
                <w:webHidden/>
              </w:rPr>
              <w:tab/>
            </w:r>
            <w:r w:rsidR="00111753">
              <w:rPr>
                <w:noProof/>
                <w:webHidden/>
              </w:rPr>
              <w:fldChar w:fldCharType="begin"/>
            </w:r>
            <w:r w:rsidR="00111753">
              <w:rPr>
                <w:noProof/>
                <w:webHidden/>
              </w:rPr>
              <w:instrText xml:space="preserve"> PAGEREF _Toc460257526 \h </w:instrText>
            </w:r>
            <w:r w:rsidR="00111753">
              <w:rPr>
                <w:noProof/>
                <w:webHidden/>
              </w:rPr>
            </w:r>
            <w:r w:rsidR="00111753">
              <w:rPr>
                <w:noProof/>
                <w:webHidden/>
              </w:rPr>
              <w:fldChar w:fldCharType="separate"/>
            </w:r>
            <w:r w:rsidR="00EA5C86">
              <w:rPr>
                <w:noProof/>
                <w:webHidden/>
              </w:rPr>
              <w:t>63</w:t>
            </w:r>
            <w:r w:rsidR="00111753">
              <w:rPr>
                <w:noProof/>
                <w:webHidden/>
              </w:rPr>
              <w:fldChar w:fldCharType="end"/>
            </w:r>
          </w:hyperlink>
        </w:p>
        <w:p w14:paraId="4A134F63" w14:textId="77777777" w:rsidR="000D18B4" w:rsidRDefault="000D18B4" w:rsidP="000D18B4">
          <w:r>
            <w:fldChar w:fldCharType="end"/>
          </w:r>
        </w:p>
      </w:sdtContent>
    </w:sdt>
    <w:p w14:paraId="61D97084" w14:textId="77777777" w:rsidR="000D18B4" w:rsidRDefault="000D18B4" w:rsidP="000D18B4">
      <w:pPr>
        <w:keepNext/>
        <w:keepLines/>
        <w:spacing w:before="240" w:after="0"/>
        <w:ind w:left="360"/>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br w:type="page"/>
      </w:r>
    </w:p>
    <w:p w14:paraId="6DBE52D7" w14:textId="3FE03670" w:rsidR="000D18B4" w:rsidRPr="00D90164" w:rsidRDefault="000D18B4" w:rsidP="000D18B4">
      <w:pPr>
        <w:pStyle w:val="Heading"/>
      </w:pPr>
      <w:bookmarkStart w:id="1" w:name="_Toc457242042"/>
      <w:bookmarkStart w:id="2" w:name="_Toc460257461"/>
      <w:bookmarkEnd w:id="1"/>
      <w:r w:rsidRPr="00617952">
        <w:lastRenderedPageBreak/>
        <w:t>FOREWORD BY CHAIR OF THE TASKFORCE</w:t>
      </w:r>
      <w:bookmarkEnd w:id="2"/>
      <w:r w:rsidRPr="009C45AB">
        <w:rPr>
          <w:i/>
        </w:rPr>
        <w:t xml:space="preserve"> </w:t>
      </w:r>
    </w:p>
    <w:p w14:paraId="397CE89C" w14:textId="4C3D4846" w:rsidR="000D18B4" w:rsidRDefault="000D18B4" w:rsidP="000D18B4">
      <w:r w:rsidRPr="006B459E">
        <w:t xml:space="preserve">Queensland’s ageing population will </w:t>
      </w:r>
      <w:r w:rsidR="007B1A91">
        <w:t>present</w:t>
      </w:r>
      <w:r w:rsidR="007B1A91" w:rsidRPr="006B459E">
        <w:t xml:space="preserve"> </w:t>
      </w:r>
      <w:r w:rsidRPr="006B459E">
        <w:t>enormous opportunities and challenges over coming decades. Housing plays a foundational role in assuring quality of life, ageing in place, and</w:t>
      </w:r>
      <w:r>
        <w:t xml:space="preserve"> supporting</w:t>
      </w:r>
      <w:r w:rsidRPr="006B459E">
        <w:t xml:space="preserve"> active and independent living for older Queenslanders. Local </w:t>
      </w:r>
      <w:r w:rsidR="00613F59">
        <w:t>circumstances</w:t>
      </w:r>
      <w:r w:rsidRPr="006B459E">
        <w:t xml:space="preserve">, including housing availability, community infrastructure and services, are key elements in enabling older people to live independently in their communities. </w:t>
      </w:r>
      <w:r w:rsidR="00027426">
        <w:t>M</w:t>
      </w:r>
      <w:r w:rsidRPr="006B459E">
        <w:t xml:space="preserve">ost older people </w:t>
      </w:r>
      <w:r>
        <w:t>want</w:t>
      </w:r>
      <w:r w:rsidRPr="006B459E">
        <w:t xml:space="preserve"> to </w:t>
      </w:r>
      <w:r>
        <w:t>‘</w:t>
      </w:r>
      <w:r w:rsidRPr="006B459E">
        <w:t>age in place</w:t>
      </w:r>
      <w:r>
        <w:t>’</w:t>
      </w:r>
      <w:r w:rsidRPr="006B459E">
        <w:t xml:space="preserve">, </w:t>
      </w:r>
      <w:r>
        <w:t xml:space="preserve">either </w:t>
      </w:r>
      <w:r w:rsidRPr="006B459E">
        <w:t>in their family home or in alternative accommodation</w:t>
      </w:r>
      <w:r>
        <w:t xml:space="preserve"> in their local community</w:t>
      </w:r>
      <w:r w:rsidRPr="006B459E">
        <w:t>.</w:t>
      </w:r>
    </w:p>
    <w:p w14:paraId="07F46EBC" w14:textId="332AECA5" w:rsidR="000D18B4" w:rsidRDefault="000D18B4" w:rsidP="000D18B4">
      <w:r w:rsidRPr="006B459E">
        <w:t>Supporting people throughout their lives through</w:t>
      </w:r>
      <w:r w:rsidR="00756AA9">
        <w:t xml:space="preserve"> providing</w:t>
      </w:r>
      <w:r w:rsidRPr="006B459E">
        <w:t xml:space="preserve"> accommodation options and support services is </w:t>
      </w:r>
      <w:r>
        <w:t xml:space="preserve">often </w:t>
      </w:r>
      <w:r w:rsidRPr="006B459E">
        <w:t xml:space="preserve">complex and requires an integrated community approach. </w:t>
      </w:r>
      <w:r>
        <w:t xml:space="preserve">Clearly, supportive housing is integral to the future of our state. </w:t>
      </w:r>
      <w:r w:rsidRPr="009C45AB">
        <w:t xml:space="preserve">As our ageing population continues to grow at unprecedented levels, </w:t>
      </w:r>
      <w:r>
        <w:t xml:space="preserve">housing development, along with </w:t>
      </w:r>
      <w:r w:rsidRPr="009C45AB">
        <w:t>policies, technology and services</w:t>
      </w:r>
      <w:r>
        <w:t>,</w:t>
      </w:r>
      <w:r w:rsidRPr="009C45AB">
        <w:t xml:space="preserve"> must find ways to respond and be prepared for the future.</w:t>
      </w:r>
    </w:p>
    <w:p w14:paraId="4748CF67" w14:textId="7C6A3F23" w:rsidR="000D18B4" w:rsidRPr="009C45AB" w:rsidRDefault="000D18B4" w:rsidP="000D18B4">
      <w:pPr>
        <w:rPr>
          <w:rFonts w:cs="Arial"/>
        </w:rPr>
      </w:pPr>
      <w:r w:rsidRPr="009C45AB">
        <w:t xml:space="preserve">This </w:t>
      </w:r>
      <w:r w:rsidRPr="004C1AE3">
        <w:t>r</w:t>
      </w:r>
      <w:r w:rsidRPr="009C45AB">
        <w:t xml:space="preserve">eport is the product of </w:t>
      </w:r>
      <w:r w:rsidRPr="004C1AE3">
        <w:t xml:space="preserve">the </w:t>
      </w:r>
      <w:r w:rsidR="004A538D">
        <w:t>Queensland</w:t>
      </w:r>
      <w:r w:rsidR="004A538D" w:rsidRPr="009C45AB">
        <w:t xml:space="preserve"> </w:t>
      </w:r>
      <w:r w:rsidRPr="009C45AB">
        <w:t>Government</w:t>
      </w:r>
      <w:r w:rsidR="004A538D">
        <w:t>-</w:t>
      </w:r>
      <w:r w:rsidRPr="004C1AE3">
        <w:t>established</w:t>
      </w:r>
      <w:r>
        <w:t xml:space="preserve"> </w:t>
      </w:r>
      <w:r w:rsidR="00756AA9">
        <w:t xml:space="preserve">independent </w:t>
      </w:r>
      <w:r w:rsidRPr="004C1AE3">
        <w:t>Advisory Taskforce on Residential Transition for Ageing Queenslanders</w:t>
      </w:r>
      <w:r w:rsidR="00027426">
        <w:t xml:space="preserve">. The Taskforce was </w:t>
      </w:r>
      <w:r w:rsidR="004A538D">
        <w:t>asked</w:t>
      </w:r>
      <w:r w:rsidRPr="004C1AE3">
        <w:t xml:space="preserve"> </w:t>
      </w:r>
      <w:r w:rsidRPr="009C45AB">
        <w:t xml:space="preserve">to identify the barriers </w:t>
      </w:r>
      <w:r>
        <w:t>to</w:t>
      </w:r>
      <w:r w:rsidR="004A538D">
        <w:t>,</w:t>
      </w:r>
      <w:r>
        <w:t xml:space="preserve"> </w:t>
      </w:r>
      <w:r w:rsidRPr="009C45AB">
        <w:t xml:space="preserve">and enablers </w:t>
      </w:r>
      <w:r w:rsidR="004A538D">
        <w:t>of,</w:t>
      </w:r>
      <w:r w:rsidR="004A538D" w:rsidRPr="009C45AB">
        <w:t xml:space="preserve"> </w:t>
      </w:r>
      <w:r w:rsidRPr="009C45AB">
        <w:t>increasing housing options and access to support services for older people and make recommendations that support community independent living.</w:t>
      </w:r>
    </w:p>
    <w:p w14:paraId="4F498998" w14:textId="10C54EBC" w:rsidR="000D18B4" w:rsidRDefault="000D18B4" w:rsidP="000D18B4">
      <w:r>
        <w:t xml:space="preserve">The Taskforce held two consultation sessions, received community submissions to an </w:t>
      </w:r>
      <w:r w:rsidR="00027426">
        <w:t>i</w:t>
      </w:r>
      <w:r>
        <w:t xml:space="preserve">ssues </w:t>
      </w:r>
      <w:r w:rsidR="00027426">
        <w:t>p</w:t>
      </w:r>
      <w:r>
        <w:t xml:space="preserve">aper </w:t>
      </w:r>
      <w:r w:rsidR="004A538D">
        <w:t xml:space="preserve">and </w:t>
      </w:r>
      <w:r>
        <w:t xml:space="preserve">accessed community consultation information </w:t>
      </w:r>
      <w:r w:rsidR="004A538D">
        <w:t>relating</w:t>
      </w:r>
      <w:r>
        <w:t xml:space="preserve"> to </w:t>
      </w:r>
      <w:r w:rsidRPr="004369F9">
        <w:rPr>
          <w:i/>
        </w:rPr>
        <w:t>Queensland: an age-friendly community</w:t>
      </w:r>
      <w:r>
        <w:t xml:space="preserve"> </w:t>
      </w:r>
      <w:r w:rsidR="00756AA9">
        <w:t xml:space="preserve">strategic direction and action plan </w:t>
      </w:r>
      <w:r>
        <w:t xml:space="preserve">and the soon to be released </w:t>
      </w:r>
      <w:r w:rsidR="004A538D">
        <w:t>h</w:t>
      </w:r>
      <w:r>
        <w:t xml:space="preserve">ousing </w:t>
      </w:r>
      <w:r w:rsidR="004A538D">
        <w:t>s</w:t>
      </w:r>
      <w:r>
        <w:t>trategy. This information has been used to refine, develop and advance the work of the Taskforce and assist in making the recommendations in this report.</w:t>
      </w:r>
    </w:p>
    <w:p w14:paraId="53306AA1" w14:textId="19B47D73" w:rsidR="000D18B4" w:rsidRDefault="000D18B4" w:rsidP="000D18B4">
      <w:r>
        <w:t xml:space="preserve">The recommendations aim to provide housing choices for older people, as well as the support </w:t>
      </w:r>
      <w:r w:rsidR="004A538D">
        <w:t xml:space="preserve">needed </w:t>
      </w:r>
      <w:r>
        <w:t xml:space="preserve">to enable the flexibility and mobility to access </w:t>
      </w:r>
      <w:r w:rsidR="00027426">
        <w:t>suitable housing</w:t>
      </w:r>
      <w:r>
        <w:t>, so people can maintain their independence as they age</w:t>
      </w:r>
      <w:r w:rsidR="00C14929">
        <w:t>.</w:t>
      </w:r>
    </w:p>
    <w:p w14:paraId="0377773C" w14:textId="577BEC4E" w:rsidR="000D18B4" w:rsidRDefault="000D18B4" w:rsidP="000D18B4">
      <w:r>
        <w:t xml:space="preserve">The Taskforce heard from experts that our housing options in Queensland are relatively conservative compared with some overseas jurisdictions. Although some innovation is responding to the market, it is still in its infancy. Many of the recommendations in this report aim to facilitate and encourage innovative solutions that respond to the wants and needs of a </w:t>
      </w:r>
      <w:r w:rsidR="00027426">
        <w:t xml:space="preserve">diverse older </w:t>
      </w:r>
      <w:r>
        <w:t xml:space="preserve">population, including the provision of affordable </w:t>
      </w:r>
      <w:r w:rsidR="003C5BC1">
        <w:t xml:space="preserve">and accessible </w:t>
      </w:r>
      <w:r>
        <w:t>housing.</w:t>
      </w:r>
    </w:p>
    <w:p w14:paraId="1925FCFC" w14:textId="5A596FDF" w:rsidR="000D18B4" w:rsidRPr="009C45AB" w:rsidRDefault="004A538D" w:rsidP="000D18B4">
      <w:r>
        <w:t>Acting on</w:t>
      </w:r>
      <w:r w:rsidR="000D18B4" w:rsidRPr="009C45AB">
        <w:t xml:space="preserve"> these recommendations requires the commitment of</w:t>
      </w:r>
      <w:r w:rsidR="000D18B4" w:rsidRPr="004C1AE3">
        <w:t xml:space="preserve"> all stakeholders</w:t>
      </w:r>
      <w:r>
        <w:t>,</w:t>
      </w:r>
      <w:r w:rsidR="000D18B4" w:rsidRPr="004C1AE3">
        <w:t xml:space="preserve"> including</w:t>
      </w:r>
      <w:r w:rsidR="000D18B4" w:rsidRPr="009C45AB">
        <w:t xml:space="preserve"> </w:t>
      </w:r>
      <w:r w:rsidR="000D18B4" w:rsidRPr="004C1AE3">
        <w:t xml:space="preserve">industry, the non-government sector, </w:t>
      </w:r>
      <w:r w:rsidR="000D18B4" w:rsidRPr="009C45AB">
        <w:t>government</w:t>
      </w:r>
      <w:r w:rsidR="000D18B4" w:rsidRPr="004C1AE3">
        <w:t>, academia</w:t>
      </w:r>
      <w:r w:rsidR="000D18B4" w:rsidRPr="009C45AB">
        <w:t xml:space="preserve"> and the wider community.</w:t>
      </w:r>
      <w:r w:rsidR="000D18B4">
        <w:t xml:space="preserve"> On behalf of the Taskforce, I</w:t>
      </w:r>
      <w:r w:rsidR="000D18B4" w:rsidRPr="009C45AB">
        <w:t xml:space="preserve"> look forward to seeing </w:t>
      </w:r>
      <w:r w:rsidR="000D18B4">
        <w:t xml:space="preserve">new and innovative </w:t>
      </w:r>
      <w:r w:rsidR="000D18B4" w:rsidRPr="009C45AB">
        <w:t xml:space="preserve">partnerships form </w:t>
      </w:r>
      <w:r w:rsidR="000D18B4">
        <w:t>to</w:t>
      </w:r>
      <w:r w:rsidR="000D18B4" w:rsidRPr="009C45AB">
        <w:t xml:space="preserve"> enable and support older Queenslanders. </w:t>
      </w:r>
    </w:p>
    <w:p w14:paraId="61670E43" w14:textId="2480F25D" w:rsidR="000D18B4" w:rsidRDefault="000D18B4" w:rsidP="000D18B4">
      <w:r>
        <w:t>I</w:t>
      </w:r>
      <w:r w:rsidRPr="009C45AB">
        <w:t xml:space="preserve"> express </w:t>
      </w:r>
      <w:r w:rsidRPr="004C1AE3">
        <w:t xml:space="preserve">sincere </w:t>
      </w:r>
      <w:r w:rsidRPr="009C45AB">
        <w:t>gratitude to those who participated in consultations</w:t>
      </w:r>
      <w:r>
        <w:t xml:space="preserve">, provided submissions, </w:t>
      </w:r>
      <w:r w:rsidR="004A538D">
        <w:t xml:space="preserve">and </w:t>
      </w:r>
      <w:r>
        <w:t xml:space="preserve">gave their expert views to inform the Taskforce members </w:t>
      </w:r>
      <w:r w:rsidR="004A538D">
        <w:t xml:space="preserve">and assist them </w:t>
      </w:r>
      <w:r>
        <w:t xml:space="preserve">to </w:t>
      </w:r>
      <w:r w:rsidRPr="009C45AB">
        <w:t>develop</w:t>
      </w:r>
      <w:r>
        <w:t xml:space="preserve"> these </w:t>
      </w:r>
      <w:r w:rsidRPr="009C45AB">
        <w:t xml:space="preserve">recommendations. </w:t>
      </w:r>
      <w:r>
        <w:t xml:space="preserve">I hope the </w:t>
      </w:r>
      <w:r w:rsidR="004A538D">
        <w:t>g</w:t>
      </w:r>
      <w:r>
        <w:t xml:space="preserve">overnment’s consideration and response to these recommendations </w:t>
      </w:r>
      <w:r w:rsidRPr="006B459E">
        <w:t>make</w:t>
      </w:r>
      <w:r>
        <w:t>s</w:t>
      </w:r>
      <w:r w:rsidRPr="006B459E">
        <w:t xml:space="preserve"> a real difference </w:t>
      </w:r>
      <w:r>
        <w:t>for older people now and into the future.</w:t>
      </w:r>
    </w:p>
    <w:p w14:paraId="499AFB74" w14:textId="77777777" w:rsidR="000D18B4" w:rsidRDefault="000D18B4" w:rsidP="000D18B4"/>
    <w:p w14:paraId="59AD662F" w14:textId="77777777" w:rsidR="000D18B4" w:rsidRPr="003068F2" w:rsidRDefault="000D18B4" w:rsidP="000D18B4">
      <w:pPr>
        <w:rPr>
          <w:i/>
        </w:rPr>
      </w:pPr>
      <w:r w:rsidRPr="003068F2">
        <w:rPr>
          <w:i/>
        </w:rPr>
        <w:t>Professor Laurie Buys</w:t>
      </w:r>
    </w:p>
    <w:p w14:paraId="6C35F921" w14:textId="77777777" w:rsidR="000D18B4" w:rsidRPr="003068F2" w:rsidRDefault="000D18B4" w:rsidP="000D18B4">
      <w:pPr>
        <w:rPr>
          <w:i/>
        </w:rPr>
      </w:pPr>
      <w:r w:rsidRPr="003068F2">
        <w:rPr>
          <w:i/>
        </w:rPr>
        <w:t xml:space="preserve">Chairperson, Advisory Taskforce on Residential Transition for Ageing Queenslanders </w:t>
      </w:r>
    </w:p>
    <w:p w14:paraId="6DA361F1" w14:textId="77777777" w:rsidR="000D18B4" w:rsidRDefault="000D18B4" w:rsidP="000D18B4">
      <w:pPr>
        <w:rPr>
          <w:i/>
        </w:rPr>
      </w:pPr>
      <w:r>
        <w:rPr>
          <w:i/>
        </w:rPr>
        <w:br w:type="page"/>
      </w:r>
    </w:p>
    <w:p w14:paraId="59A0AAF2" w14:textId="573C84D6" w:rsidR="000D18B4" w:rsidRPr="00617952" w:rsidRDefault="000D18B4" w:rsidP="000D18B4">
      <w:pPr>
        <w:pStyle w:val="Heading"/>
      </w:pPr>
      <w:bookmarkStart w:id="3" w:name="_Toc460257462"/>
      <w:r w:rsidRPr="00617952">
        <w:lastRenderedPageBreak/>
        <w:t>EXECUTIVE SUMMARY</w:t>
      </w:r>
      <w:bookmarkEnd w:id="3"/>
    </w:p>
    <w:p w14:paraId="623D8FDD" w14:textId="5700C3F1" w:rsidR="000B76A1" w:rsidRPr="000B76A1" w:rsidRDefault="000B76A1" w:rsidP="000B76A1">
      <w:pPr>
        <w:pStyle w:val="Heading2"/>
        <w:numPr>
          <w:ilvl w:val="0"/>
          <w:numId w:val="0"/>
        </w:numPr>
        <w:ind w:left="576" w:hanging="576"/>
        <w:rPr>
          <w:rFonts w:ascii="Calibri" w:eastAsia="Calibri" w:hAnsi="Calibri" w:cs="Times New Roman"/>
          <w:b/>
        </w:rPr>
      </w:pPr>
      <w:bookmarkStart w:id="4" w:name="_Toc460257463"/>
      <w:r w:rsidRPr="000B76A1">
        <w:t>A changing population and changing needs</w:t>
      </w:r>
      <w:bookmarkEnd w:id="4"/>
      <w:r w:rsidRPr="000B76A1">
        <w:rPr>
          <w:rFonts w:ascii="Calibri" w:eastAsia="Calibri" w:hAnsi="Calibri" w:cs="Times New Roman"/>
          <w:b/>
        </w:rPr>
        <w:t xml:space="preserve"> </w:t>
      </w:r>
    </w:p>
    <w:p w14:paraId="6EC50220" w14:textId="3243F50F" w:rsidR="000B76A1" w:rsidRPr="000B76A1" w:rsidRDefault="0024244E" w:rsidP="000B76A1">
      <w:pPr>
        <w:spacing w:after="200" w:line="276" w:lineRule="auto"/>
        <w:rPr>
          <w:rFonts w:ascii="Calibri" w:eastAsia="Calibri" w:hAnsi="Calibri" w:cs="Times New Roman"/>
        </w:rPr>
      </w:pPr>
      <w:r w:rsidRPr="0024244E">
        <w:rPr>
          <w:rFonts w:ascii="Calibri" w:eastAsia="Calibri" w:hAnsi="Calibri" w:cs="Times New Roman"/>
        </w:rPr>
        <w:t xml:space="preserve">Housing is a basic need for everyone, inextricably linked to health and wellbeing. Stable housing is linked to workforce participation and social connectedness. For many older people, housing is also at the centre of their sense of security and independence. It may also be a source of </w:t>
      </w:r>
      <w:r w:rsidR="001D26C0">
        <w:rPr>
          <w:rFonts w:ascii="Calibri" w:eastAsia="Calibri" w:hAnsi="Calibri" w:cs="Times New Roman"/>
        </w:rPr>
        <w:t>wealth</w:t>
      </w:r>
      <w:r w:rsidR="001D26C0">
        <w:rPr>
          <w:rStyle w:val="FootnoteReference"/>
          <w:rFonts w:ascii="Calibri" w:eastAsia="Calibri" w:hAnsi="Calibri" w:cs="Times New Roman"/>
        </w:rPr>
        <w:footnoteReference w:id="1"/>
      </w:r>
      <w:r w:rsidR="001D26C0">
        <w:rPr>
          <w:rFonts w:ascii="Calibri" w:eastAsia="Calibri" w:hAnsi="Calibri" w:cs="Times New Roman"/>
        </w:rPr>
        <w:t xml:space="preserve"> or potential income </w:t>
      </w:r>
      <w:r w:rsidRPr="0024244E">
        <w:rPr>
          <w:rFonts w:ascii="Calibri" w:eastAsia="Calibri" w:hAnsi="Calibri" w:cs="Times New Roman"/>
        </w:rPr>
        <w:t>in retirement. From an economic perspective, housing is a significant part of the Queensland economy, providing employment, investment and business opportunities.</w:t>
      </w:r>
    </w:p>
    <w:p w14:paraId="16EF7499" w14:textId="53A45F6D"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Times New Roman"/>
        </w:rPr>
        <w:t xml:space="preserve">Queensland’s population is ageing due to increased life expectancy, decreasing fertility rates and the transition of the large baby boomer cohort into older age. Queensland’s population aged 65 years </w:t>
      </w:r>
      <w:r w:rsidR="0024244E">
        <w:rPr>
          <w:rFonts w:ascii="Calibri" w:eastAsia="Calibri" w:hAnsi="Calibri" w:cs="Times New Roman"/>
        </w:rPr>
        <w:t>or older</w:t>
      </w:r>
      <w:r w:rsidRPr="000B76A1">
        <w:rPr>
          <w:rFonts w:ascii="Calibri" w:eastAsia="Calibri" w:hAnsi="Calibri" w:cs="Times New Roman"/>
        </w:rPr>
        <w:t xml:space="preserve"> is projected to increase from </w:t>
      </w:r>
      <w:r w:rsidR="0024244E">
        <w:rPr>
          <w:rFonts w:ascii="Calibri" w:eastAsia="Calibri" w:hAnsi="Calibri" w:cs="Times New Roman"/>
        </w:rPr>
        <w:t>approximately 900,000 people</w:t>
      </w:r>
      <w:r w:rsidRPr="000B76A1">
        <w:rPr>
          <w:rFonts w:ascii="Calibri" w:eastAsia="Calibri" w:hAnsi="Calibri" w:cs="Times New Roman"/>
        </w:rPr>
        <w:t xml:space="preserve"> in 2014 to over 1.7 million by 2036.  </w:t>
      </w:r>
    </w:p>
    <w:p w14:paraId="7B58C581" w14:textId="77777777"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Times New Roman"/>
        </w:rPr>
        <w:t xml:space="preserve">The ageing of the population has significant implications for housing in Queensland.  </w:t>
      </w:r>
    </w:p>
    <w:p w14:paraId="179DE159" w14:textId="36AC14CD" w:rsidR="000B76A1" w:rsidRPr="000B76A1" w:rsidRDefault="000B32A6" w:rsidP="004A538D">
      <w:pPr>
        <w:pStyle w:val="Heading2"/>
        <w:numPr>
          <w:ilvl w:val="0"/>
          <w:numId w:val="0"/>
        </w:numPr>
        <w:ind w:left="576" w:hanging="576"/>
        <w:rPr>
          <w:rFonts w:ascii="Calibri" w:eastAsia="Calibri" w:hAnsi="Calibri" w:cs="Times New Roman"/>
          <w:b/>
        </w:rPr>
      </w:pPr>
      <w:bookmarkStart w:id="5" w:name="_Toc460257464"/>
      <w:r>
        <w:t>Housing t</w:t>
      </w:r>
      <w:r w:rsidR="000B76A1" w:rsidRPr="004A538D">
        <w:t>rends</w:t>
      </w:r>
      <w:bookmarkEnd w:id="5"/>
    </w:p>
    <w:p w14:paraId="1EDAD3FF" w14:textId="078D807E" w:rsidR="000B76A1" w:rsidRDefault="00756AA9" w:rsidP="000B76A1">
      <w:pPr>
        <w:spacing w:after="200" w:line="276" w:lineRule="auto"/>
        <w:rPr>
          <w:rFonts w:ascii="Calibri" w:eastAsia="Calibri" w:hAnsi="Calibri" w:cs="Times New Roman"/>
        </w:rPr>
      </w:pPr>
      <w:r>
        <w:rPr>
          <w:rFonts w:ascii="Calibri" w:eastAsia="Calibri" w:hAnsi="Calibri" w:cs="Times New Roman"/>
        </w:rPr>
        <w:t>The 2011 Census shows that</w:t>
      </w:r>
      <w:r w:rsidR="00027426">
        <w:rPr>
          <w:rFonts w:ascii="Calibri" w:eastAsia="Calibri" w:hAnsi="Calibri" w:cs="Times New Roman"/>
        </w:rPr>
        <w:t xml:space="preserve"> 66 per cent of people over 65 own</w:t>
      </w:r>
      <w:r w:rsidR="009555A5">
        <w:rPr>
          <w:rFonts w:ascii="Calibri" w:eastAsia="Calibri" w:hAnsi="Calibri" w:cs="Times New Roman"/>
        </w:rPr>
        <w:t>ed</w:t>
      </w:r>
      <w:r w:rsidR="00027426">
        <w:rPr>
          <w:rFonts w:ascii="Calibri" w:eastAsia="Calibri" w:hAnsi="Calibri" w:cs="Times New Roman"/>
        </w:rPr>
        <w:t xml:space="preserve"> their home.</w:t>
      </w:r>
      <w:r w:rsidR="0024244E">
        <w:rPr>
          <w:rFonts w:ascii="Calibri" w:eastAsia="Calibri" w:hAnsi="Calibri" w:cs="Times New Roman"/>
        </w:rPr>
        <w:t xml:space="preserve"> H</w:t>
      </w:r>
      <w:r w:rsidR="000B76A1" w:rsidRPr="000B76A1">
        <w:rPr>
          <w:rFonts w:ascii="Calibri" w:eastAsia="Calibri" w:hAnsi="Calibri" w:cs="Times New Roman"/>
        </w:rPr>
        <w:t>owever</w:t>
      </w:r>
      <w:r w:rsidR="0024244E">
        <w:rPr>
          <w:rFonts w:ascii="Calibri" w:eastAsia="Calibri" w:hAnsi="Calibri" w:cs="Times New Roman"/>
        </w:rPr>
        <w:t>,</w:t>
      </w:r>
      <w:r w:rsidR="000B76A1" w:rsidRPr="000B76A1">
        <w:rPr>
          <w:rFonts w:ascii="Calibri" w:eastAsia="Calibri" w:hAnsi="Calibri" w:cs="Times New Roman"/>
        </w:rPr>
        <w:t xml:space="preserve"> it is likely this figure will decline as younger </w:t>
      </w:r>
      <w:r w:rsidR="0024244E">
        <w:rPr>
          <w:rFonts w:ascii="Calibri" w:eastAsia="Calibri" w:hAnsi="Calibri" w:cs="Times New Roman"/>
        </w:rPr>
        <w:t>people</w:t>
      </w:r>
      <w:r w:rsidR="000B76A1" w:rsidRPr="000B76A1">
        <w:rPr>
          <w:rFonts w:ascii="Calibri" w:eastAsia="Calibri" w:hAnsi="Calibri" w:cs="Times New Roman"/>
        </w:rPr>
        <w:t xml:space="preserve"> with mortgages or lower home ownership levels reach retirement age. </w:t>
      </w:r>
    </w:p>
    <w:p w14:paraId="443B4528" w14:textId="3016C450"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Times New Roman"/>
        </w:rPr>
        <w:t>Many older Queenslanders have low incomes despite owning their own home. There are 477,000 Queenslanders receiving the aged pension</w:t>
      </w:r>
      <w:r w:rsidRPr="000B76A1">
        <w:rPr>
          <w:rFonts w:ascii="Calibri" w:eastAsia="Calibri" w:hAnsi="Calibri" w:cs="Times New Roman"/>
          <w:vertAlign w:val="superscript"/>
        </w:rPr>
        <w:footnoteReference w:id="2"/>
      </w:r>
      <w:r w:rsidRPr="000B76A1">
        <w:rPr>
          <w:rFonts w:ascii="Calibri" w:eastAsia="Calibri" w:hAnsi="Calibri" w:cs="Times New Roman"/>
        </w:rPr>
        <w:t>, and it has been reported that approximately two thirds of Queensland’s older people aged 75 to 84 have incomes of less than $400 per week.</w:t>
      </w:r>
      <w:r w:rsidRPr="000B76A1">
        <w:rPr>
          <w:rFonts w:ascii="Calibri" w:eastAsia="Calibri" w:hAnsi="Calibri" w:cs="Times New Roman"/>
          <w:vertAlign w:val="superscript"/>
        </w:rPr>
        <w:footnoteReference w:id="3"/>
      </w:r>
      <w:r w:rsidRPr="000B76A1">
        <w:rPr>
          <w:rFonts w:ascii="Calibri" w:eastAsia="Calibri" w:hAnsi="Calibri" w:cs="Times New Roman"/>
        </w:rPr>
        <w:t xml:space="preserve"> Many have little or limited funds to transition into different living circumstances</w:t>
      </w:r>
      <w:r w:rsidR="0024244E">
        <w:rPr>
          <w:rFonts w:ascii="Calibri" w:eastAsia="Calibri" w:hAnsi="Calibri" w:cs="Times New Roman"/>
        </w:rPr>
        <w:t>,</w:t>
      </w:r>
      <w:r w:rsidRPr="000B76A1">
        <w:rPr>
          <w:rFonts w:ascii="Calibri" w:eastAsia="Calibri" w:hAnsi="Calibri" w:cs="Times New Roman"/>
        </w:rPr>
        <w:t xml:space="preserve"> especially</w:t>
      </w:r>
      <w:r w:rsidR="00756AA9">
        <w:rPr>
          <w:rFonts w:ascii="Calibri" w:eastAsia="Calibri" w:hAnsi="Calibri" w:cs="Times New Roman"/>
        </w:rPr>
        <w:t xml:space="preserve"> people who</w:t>
      </w:r>
      <w:r w:rsidRPr="000B76A1">
        <w:rPr>
          <w:rFonts w:ascii="Calibri" w:eastAsia="Calibri" w:hAnsi="Calibri" w:cs="Times New Roman"/>
        </w:rPr>
        <w:t xml:space="preserve"> rent who may have little or no cash reserves. </w:t>
      </w:r>
    </w:p>
    <w:p w14:paraId="30D8F955" w14:textId="213BB65E"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Times New Roman"/>
        </w:rPr>
        <w:t>Generally, the issue of affordable housing is particularly acute for older people in the private rental market. Successive reports have found that pensioners who rent privately have poorer outcomes, including higher financial stress</w:t>
      </w:r>
      <w:r w:rsidR="0024244E">
        <w:rPr>
          <w:rFonts w:ascii="Calibri" w:eastAsia="Calibri" w:hAnsi="Calibri" w:cs="Times New Roman"/>
        </w:rPr>
        <w:t>,</w:t>
      </w:r>
      <w:r w:rsidRPr="000B76A1">
        <w:rPr>
          <w:rFonts w:ascii="Calibri" w:eastAsia="Calibri" w:hAnsi="Calibri" w:cs="Times New Roman"/>
        </w:rPr>
        <w:t xml:space="preserve"> than pensioners who own their homes outright or who are living in public housing. For older people on low and fixed incomes, housing stability is an issue. The situation is worsened for them by their greater need for modifications to dwellings, where they have little control over the decision to modify or not. </w:t>
      </w:r>
    </w:p>
    <w:p w14:paraId="0EE1F7A4" w14:textId="381BAD94"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Times New Roman"/>
        </w:rPr>
        <w:t xml:space="preserve">The 2011 Census found that there were </w:t>
      </w:r>
      <w:r w:rsidR="0024244E">
        <w:rPr>
          <w:rFonts w:ascii="Calibri" w:eastAsia="Calibri" w:hAnsi="Calibri" w:cs="Times New Roman"/>
        </w:rPr>
        <w:t xml:space="preserve">approximately </w:t>
      </w:r>
      <w:r w:rsidRPr="000B76A1">
        <w:rPr>
          <w:rFonts w:ascii="Calibri" w:eastAsia="Calibri" w:hAnsi="Calibri" w:cs="Times New Roman"/>
        </w:rPr>
        <w:t>3,4</w:t>
      </w:r>
      <w:r w:rsidR="0024244E">
        <w:rPr>
          <w:rFonts w:ascii="Calibri" w:eastAsia="Calibri" w:hAnsi="Calibri" w:cs="Times New Roman"/>
        </w:rPr>
        <w:t>50</w:t>
      </w:r>
      <w:r w:rsidRPr="000B76A1">
        <w:rPr>
          <w:rFonts w:ascii="Calibri" w:eastAsia="Calibri" w:hAnsi="Calibri" w:cs="Times New Roman"/>
        </w:rPr>
        <w:t xml:space="preserve"> homeless Queenslanders over the age of 55. Many homeless older people have a life history of unstable housing, but evidence suggests that the majority become homeless later in life.</w:t>
      </w:r>
      <w:r w:rsidRPr="000B76A1">
        <w:rPr>
          <w:rFonts w:ascii="Calibri" w:eastAsia="Calibri" w:hAnsi="Calibri" w:cs="Times New Roman"/>
          <w:vertAlign w:val="superscript"/>
        </w:rPr>
        <w:footnoteReference w:id="4"/>
      </w:r>
      <w:r w:rsidRPr="000B76A1">
        <w:rPr>
          <w:rFonts w:ascii="Calibri" w:eastAsia="Calibri" w:hAnsi="Calibri" w:cs="Times New Roman"/>
        </w:rPr>
        <w:t xml:space="preserve"> </w:t>
      </w:r>
    </w:p>
    <w:p w14:paraId="0DE6062E" w14:textId="5107D32D" w:rsidR="000B76A1" w:rsidRPr="000B76A1" w:rsidRDefault="000B76A1" w:rsidP="00751207">
      <w:pPr>
        <w:pStyle w:val="Heading2"/>
        <w:numPr>
          <w:ilvl w:val="0"/>
          <w:numId w:val="0"/>
        </w:numPr>
        <w:ind w:left="576" w:hanging="576"/>
        <w:rPr>
          <w:rFonts w:ascii="Calibri" w:eastAsia="Calibri" w:hAnsi="Calibri" w:cs="Times New Roman"/>
          <w:b/>
        </w:rPr>
      </w:pPr>
      <w:bookmarkStart w:id="6" w:name="_Toc460257465"/>
      <w:r w:rsidRPr="00751207">
        <w:t>The Advisory Taskforce on Residential Transition for Ageing Queenslanders</w:t>
      </w:r>
      <w:bookmarkEnd w:id="6"/>
      <w:r w:rsidRPr="000B76A1">
        <w:rPr>
          <w:rFonts w:ascii="Calibri" w:eastAsia="Calibri" w:hAnsi="Calibri" w:cs="Times New Roman"/>
          <w:b/>
        </w:rPr>
        <w:t xml:space="preserve"> </w:t>
      </w:r>
    </w:p>
    <w:p w14:paraId="5C357106" w14:textId="2DDDEAC6" w:rsidR="000B76A1" w:rsidRDefault="000B76A1" w:rsidP="007D216A">
      <w:pPr>
        <w:spacing w:after="200" w:line="276" w:lineRule="auto"/>
        <w:rPr>
          <w:rFonts w:ascii="Calibri" w:eastAsia="Calibri" w:hAnsi="Calibri" w:cs="Arial"/>
          <w:lang w:val="en-US"/>
        </w:rPr>
      </w:pPr>
      <w:r w:rsidRPr="000B76A1">
        <w:rPr>
          <w:rFonts w:ascii="Calibri" w:eastAsia="Calibri" w:hAnsi="Calibri" w:cs="Times New Roman"/>
        </w:rPr>
        <w:t xml:space="preserve">The </w:t>
      </w:r>
      <w:r w:rsidR="00C6278D" w:rsidRPr="00C6278D">
        <w:rPr>
          <w:rFonts w:ascii="Calibri" w:eastAsia="Calibri" w:hAnsi="Calibri" w:cs="Times New Roman"/>
        </w:rPr>
        <w:t xml:space="preserve">Queensland Government appointed the </w:t>
      </w:r>
      <w:r w:rsidR="00C6278D" w:rsidRPr="00C6278D">
        <w:rPr>
          <w:rFonts w:ascii="Calibri" w:eastAsia="Calibri" w:hAnsi="Calibri" w:cs="Times New Roman"/>
          <w:i/>
        </w:rPr>
        <w:t>Advisory Taskforce on Residential Transition for Ageing Queenslanders</w:t>
      </w:r>
      <w:r w:rsidR="00C6278D" w:rsidRPr="00C6278D">
        <w:rPr>
          <w:rFonts w:ascii="Calibri" w:eastAsia="Calibri" w:hAnsi="Calibri" w:cs="Times New Roman"/>
        </w:rPr>
        <w:t xml:space="preserve"> (the Taskforce) to explore emerging issues with meeting the housing and related needs of older people. The Taskforce was asked to advise government on affordable and simpler housing models and other initiatives to support older Queenslanders </w:t>
      </w:r>
      <w:r w:rsidR="00C6278D" w:rsidRPr="00C6278D">
        <w:rPr>
          <w:rFonts w:ascii="Calibri" w:eastAsia="Calibri" w:hAnsi="Calibri" w:cs="Times New Roman"/>
          <w:lang w:val="en-US"/>
        </w:rPr>
        <w:t>retain their independence as they age</w:t>
      </w:r>
      <w:r w:rsidR="00C6278D" w:rsidRPr="00C6278D">
        <w:rPr>
          <w:rFonts w:ascii="Calibri" w:eastAsia="Calibri" w:hAnsi="Calibri" w:cs="Times New Roman"/>
        </w:rPr>
        <w:t xml:space="preserve">. The </w:t>
      </w:r>
      <w:r w:rsidR="00C6278D" w:rsidRPr="00C6278D">
        <w:rPr>
          <w:rFonts w:ascii="Calibri" w:eastAsia="Calibri" w:hAnsi="Calibri" w:cs="Times New Roman"/>
        </w:rPr>
        <w:lastRenderedPageBreak/>
        <w:t>Taskforce’s work will contribute to the Queensland Government’s overarching vision of, and commitment to, an age-friendly Queensland</w:t>
      </w:r>
      <w:r w:rsidRPr="000B76A1">
        <w:rPr>
          <w:rFonts w:ascii="Calibri" w:eastAsia="Calibri" w:hAnsi="Calibri" w:cs="Times New Roman"/>
        </w:rPr>
        <w:t xml:space="preserve">. </w:t>
      </w:r>
      <w:r w:rsidRPr="000B76A1">
        <w:rPr>
          <w:rFonts w:ascii="Calibri" w:eastAsia="Calibri" w:hAnsi="Calibri" w:cs="Arial"/>
          <w:lang w:val="en-US"/>
        </w:rPr>
        <w:t xml:space="preserve">  </w:t>
      </w:r>
    </w:p>
    <w:p w14:paraId="74BE8091" w14:textId="3ABA95DF" w:rsidR="00A63C60" w:rsidRPr="000B76A1" w:rsidRDefault="00A63C60" w:rsidP="00A63C60">
      <w:pPr>
        <w:pStyle w:val="Heading2"/>
        <w:numPr>
          <w:ilvl w:val="0"/>
          <w:numId w:val="0"/>
        </w:numPr>
        <w:ind w:left="576" w:hanging="576"/>
        <w:rPr>
          <w:rFonts w:ascii="Calibri" w:eastAsia="Calibri" w:hAnsi="Calibri" w:cs="Times New Roman"/>
          <w:b/>
        </w:rPr>
      </w:pPr>
      <w:bookmarkStart w:id="7" w:name="_Toc460257466"/>
      <w:r>
        <w:rPr>
          <w:rFonts w:ascii="Calibri" w:eastAsia="Calibri" w:hAnsi="Calibri" w:cs="Arial"/>
          <w:lang w:val="en-US"/>
        </w:rPr>
        <w:t>Issue Themes</w:t>
      </w:r>
      <w:bookmarkEnd w:id="7"/>
      <w:r>
        <w:rPr>
          <w:rFonts w:ascii="Calibri" w:eastAsia="Calibri" w:hAnsi="Calibri" w:cs="Arial"/>
          <w:lang w:val="en-US"/>
        </w:rPr>
        <w:tab/>
      </w:r>
      <w:r>
        <w:rPr>
          <w:rFonts w:ascii="Calibri" w:eastAsia="Calibri" w:hAnsi="Calibri" w:cs="Arial"/>
          <w:lang w:val="en-US"/>
        </w:rPr>
        <w:tab/>
        <w:t xml:space="preserve">         </w:t>
      </w:r>
    </w:p>
    <w:p w14:paraId="093DE36D" w14:textId="53B9DE05"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Times New Roman"/>
        </w:rPr>
        <w:t>As the scope of the Taskforce</w:t>
      </w:r>
      <w:r w:rsidR="00C6278D">
        <w:rPr>
          <w:rFonts w:ascii="Calibri" w:eastAsia="Calibri" w:hAnsi="Calibri" w:cs="Times New Roman"/>
        </w:rPr>
        <w:t>’s</w:t>
      </w:r>
      <w:r w:rsidRPr="000B76A1">
        <w:rPr>
          <w:rFonts w:ascii="Calibri" w:eastAsia="Calibri" w:hAnsi="Calibri" w:cs="Times New Roman"/>
        </w:rPr>
        <w:t xml:space="preserve"> Terms of Reference was broad, the Taskforce utilised the expertise of its members, the Expert Reference Group and community consultation, as well as a conceptual model to identify the key issues for older people in accessing, and transitioning to, appropriate housing. The Taskforce identified a range of barriers </w:t>
      </w:r>
      <w:r w:rsidR="00C6278D">
        <w:rPr>
          <w:rFonts w:ascii="Calibri" w:eastAsia="Calibri" w:hAnsi="Calibri" w:cs="Times New Roman"/>
        </w:rPr>
        <w:t xml:space="preserve">to, </w:t>
      </w:r>
      <w:r w:rsidRPr="000B76A1">
        <w:rPr>
          <w:rFonts w:ascii="Calibri" w:eastAsia="Calibri" w:hAnsi="Calibri" w:cs="Times New Roman"/>
        </w:rPr>
        <w:t xml:space="preserve">and enablers </w:t>
      </w:r>
      <w:r w:rsidR="00C6278D">
        <w:rPr>
          <w:rFonts w:ascii="Calibri" w:eastAsia="Calibri" w:hAnsi="Calibri" w:cs="Times New Roman"/>
        </w:rPr>
        <w:t>of,</w:t>
      </w:r>
      <w:r w:rsidRPr="000B76A1">
        <w:rPr>
          <w:rFonts w:ascii="Calibri" w:eastAsia="Calibri" w:hAnsi="Calibri" w:cs="Times New Roman"/>
        </w:rPr>
        <w:t xml:space="preserve"> increasing housing options and access to support services for older people</w:t>
      </w:r>
      <w:r w:rsidR="00C6278D">
        <w:rPr>
          <w:rFonts w:ascii="Calibri" w:eastAsia="Calibri" w:hAnsi="Calibri" w:cs="Times New Roman"/>
        </w:rPr>
        <w:t>, including disadvantaged groups</w:t>
      </w:r>
      <w:r w:rsidRPr="000B76A1">
        <w:rPr>
          <w:rFonts w:ascii="Calibri" w:eastAsia="Calibri" w:hAnsi="Calibri" w:cs="Times New Roman"/>
        </w:rPr>
        <w:t xml:space="preserve">. They envisioned what success would look like and the pathways for achieving </w:t>
      </w:r>
      <w:r w:rsidR="00C6278D">
        <w:rPr>
          <w:rFonts w:ascii="Calibri" w:eastAsia="Calibri" w:hAnsi="Calibri" w:cs="Times New Roman"/>
        </w:rPr>
        <w:t>that vision</w:t>
      </w:r>
      <w:r w:rsidRPr="000B76A1">
        <w:rPr>
          <w:rFonts w:ascii="Calibri" w:eastAsia="Calibri" w:hAnsi="Calibri" w:cs="Times New Roman"/>
        </w:rPr>
        <w:t>.</w:t>
      </w:r>
    </w:p>
    <w:p w14:paraId="264A83D2" w14:textId="7E3866C1" w:rsidR="000B76A1" w:rsidRPr="000B76A1" w:rsidRDefault="00C6278D" w:rsidP="000B76A1">
      <w:pPr>
        <w:spacing w:after="200" w:line="276" w:lineRule="auto"/>
        <w:rPr>
          <w:rFonts w:ascii="Calibri" w:eastAsia="Calibri" w:hAnsi="Calibri" w:cs="Arial"/>
        </w:rPr>
      </w:pPr>
      <w:r w:rsidRPr="00C6278D">
        <w:rPr>
          <w:rFonts w:ascii="Calibri" w:eastAsia="Calibri" w:hAnsi="Calibri" w:cs="Arial"/>
        </w:rPr>
        <w:t>A key principle underpinning the Taskforce’s deliberations and recommendations is that government funding largely provides a safety net, which should be directed at prevention approaches for those who are most vulnerable or at risk. The Taskforce also sought sustainable market solutions whereby, in the first instance, older people are able to independently plan, access and fund their own housing and transition solutions, with the private sector providing suitable housing options and community services</w:t>
      </w:r>
      <w:r w:rsidR="000B76A1" w:rsidRPr="000B76A1">
        <w:rPr>
          <w:rFonts w:ascii="Calibri" w:eastAsia="Calibri" w:hAnsi="Calibri" w:cs="Arial"/>
        </w:rPr>
        <w:t xml:space="preserve">. </w:t>
      </w:r>
    </w:p>
    <w:p w14:paraId="13AFE41C" w14:textId="32C95BF1"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Times New Roman"/>
        </w:rPr>
        <w:t xml:space="preserve">Consultation confirmed that older Queenslanders want to ‘age in place’ whether that is within their family home or their local community. </w:t>
      </w:r>
      <w:r w:rsidR="00C6278D">
        <w:rPr>
          <w:rFonts w:ascii="Calibri" w:eastAsia="Calibri" w:hAnsi="Calibri" w:cs="Times New Roman"/>
        </w:rPr>
        <w:t xml:space="preserve">Ageing in place means having </w:t>
      </w:r>
      <w:r w:rsidRPr="000B76A1">
        <w:rPr>
          <w:rFonts w:ascii="Calibri" w:eastAsia="Calibri" w:hAnsi="Calibri" w:cs="Times New Roman"/>
        </w:rPr>
        <w:t>the ability to live in one’s own home and community safely, independently and comfortably, regardless of age, income or ability level.</w:t>
      </w:r>
      <w:r w:rsidRPr="000B76A1">
        <w:rPr>
          <w:rFonts w:ascii="Calibri" w:eastAsia="Calibri" w:hAnsi="Calibri" w:cs="Times New Roman"/>
          <w:vertAlign w:val="superscript"/>
        </w:rPr>
        <w:footnoteReference w:id="5"/>
      </w:r>
      <w:r w:rsidRPr="000B76A1">
        <w:rPr>
          <w:rFonts w:ascii="Calibri" w:eastAsia="Calibri" w:hAnsi="Calibri" w:cs="Times New Roman"/>
        </w:rPr>
        <w:t xml:space="preserve">  </w:t>
      </w:r>
    </w:p>
    <w:p w14:paraId="5DCED153" w14:textId="77777777"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Times New Roman"/>
        </w:rPr>
        <w:t>Three overarching themes were evident throughout the consultation process, and the resulting recommendations seek to facilitate these:</w:t>
      </w:r>
    </w:p>
    <w:p w14:paraId="62413E1C" w14:textId="7C33C49A" w:rsidR="000B76A1" w:rsidRPr="000B76A1" w:rsidRDefault="000B76A1" w:rsidP="004363AF">
      <w:pPr>
        <w:numPr>
          <w:ilvl w:val="0"/>
          <w:numId w:val="28"/>
        </w:numPr>
        <w:spacing w:after="200" w:line="276" w:lineRule="auto"/>
        <w:contextualSpacing/>
        <w:rPr>
          <w:rFonts w:ascii="Calibri" w:eastAsia="Calibri" w:hAnsi="Calibri" w:cs="Times New Roman"/>
        </w:rPr>
      </w:pPr>
      <w:r w:rsidRPr="0005526D">
        <w:rPr>
          <w:rFonts w:ascii="Calibri" w:eastAsia="Calibri" w:hAnsi="Calibri" w:cs="Times New Roman"/>
        </w:rPr>
        <w:t xml:space="preserve">Diversity </w:t>
      </w:r>
      <w:r w:rsidRPr="00CD522B">
        <w:rPr>
          <w:rFonts w:ascii="Calibri" w:eastAsia="Calibri" w:hAnsi="Calibri" w:cs="Times New Roman"/>
        </w:rPr>
        <w:t>–</w:t>
      </w:r>
      <w:r w:rsidRPr="000B76A1">
        <w:rPr>
          <w:rFonts w:ascii="Calibri" w:eastAsia="Calibri" w:hAnsi="Calibri" w:cs="Times New Roman"/>
        </w:rPr>
        <w:t xml:space="preserve"> </w:t>
      </w:r>
      <w:r w:rsidR="00C6278D">
        <w:rPr>
          <w:rFonts w:ascii="Calibri" w:eastAsia="Calibri" w:hAnsi="Calibri" w:cs="Times New Roman"/>
        </w:rPr>
        <w:t>o</w:t>
      </w:r>
      <w:r w:rsidRPr="000B76A1">
        <w:rPr>
          <w:rFonts w:ascii="Calibri" w:eastAsia="Calibri" w:hAnsi="Calibri" w:cs="Times New Roman"/>
        </w:rPr>
        <w:t>lder people are not a homogenous group. A spectrum of housing options and choices need to exist in the community to cater to that diversity</w:t>
      </w:r>
      <w:r w:rsidR="00C6278D">
        <w:rPr>
          <w:rFonts w:ascii="Calibri" w:eastAsia="Calibri" w:hAnsi="Calibri" w:cs="Times New Roman"/>
        </w:rPr>
        <w:t>.</w:t>
      </w:r>
      <w:r w:rsidRPr="000B76A1">
        <w:rPr>
          <w:rFonts w:ascii="Calibri" w:eastAsia="Calibri" w:hAnsi="Calibri" w:cs="Times New Roman"/>
        </w:rPr>
        <w:t xml:space="preserve"> </w:t>
      </w:r>
    </w:p>
    <w:p w14:paraId="7BF893A8" w14:textId="2B96B1F5" w:rsidR="000B76A1" w:rsidRPr="000B76A1" w:rsidRDefault="000B76A1" w:rsidP="004363AF">
      <w:pPr>
        <w:numPr>
          <w:ilvl w:val="0"/>
          <w:numId w:val="28"/>
        </w:numPr>
        <w:spacing w:after="200" w:line="276" w:lineRule="auto"/>
        <w:contextualSpacing/>
        <w:rPr>
          <w:rFonts w:ascii="Calibri" w:eastAsia="Calibri" w:hAnsi="Calibri" w:cs="Times New Roman"/>
        </w:rPr>
      </w:pPr>
      <w:r w:rsidRPr="0005526D">
        <w:rPr>
          <w:rFonts w:ascii="Calibri" w:eastAsia="Calibri" w:hAnsi="Calibri" w:cs="Times New Roman"/>
        </w:rPr>
        <w:t>Independence</w:t>
      </w:r>
      <w:r w:rsidRPr="00CD522B">
        <w:rPr>
          <w:rFonts w:ascii="Calibri" w:eastAsia="Calibri" w:hAnsi="Calibri" w:cs="Times New Roman"/>
        </w:rPr>
        <w:t xml:space="preserve"> –</w:t>
      </w:r>
      <w:r w:rsidRPr="000B76A1">
        <w:rPr>
          <w:rFonts w:ascii="Calibri" w:eastAsia="Calibri" w:hAnsi="Calibri" w:cs="Times New Roman"/>
        </w:rPr>
        <w:t xml:space="preserve"> older people want to live independently in the community for as long as possible. Older people want to make their own decisions about housing at their own pace, but they need to have all the information necessary to make good decisions</w:t>
      </w:r>
      <w:r w:rsidR="00C6278D">
        <w:rPr>
          <w:rFonts w:ascii="Calibri" w:eastAsia="Calibri" w:hAnsi="Calibri" w:cs="Times New Roman"/>
        </w:rPr>
        <w:t>.</w:t>
      </w:r>
    </w:p>
    <w:p w14:paraId="0A458BEC" w14:textId="0C617735" w:rsidR="000B76A1" w:rsidRPr="000B76A1" w:rsidRDefault="000B76A1" w:rsidP="004363AF">
      <w:pPr>
        <w:numPr>
          <w:ilvl w:val="0"/>
          <w:numId w:val="28"/>
        </w:numPr>
        <w:spacing w:after="200" w:line="276" w:lineRule="auto"/>
        <w:contextualSpacing/>
        <w:rPr>
          <w:rFonts w:ascii="Calibri" w:eastAsia="Calibri" w:hAnsi="Calibri" w:cs="Times New Roman"/>
        </w:rPr>
      </w:pPr>
      <w:r w:rsidRPr="0005526D">
        <w:rPr>
          <w:rFonts w:ascii="Calibri" w:eastAsia="Calibri" w:hAnsi="Calibri" w:cs="Times New Roman"/>
        </w:rPr>
        <w:t xml:space="preserve">Community </w:t>
      </w:r>
      <w:r w:rsidRPr="00CD522B">
        <w:rPr>
          <w:rFonts w:ascii="Calibri" w:eastAsia="Calibri" w:hAnsi="Calibri" w:cs="Times New Roman"/>
        </w:rPr>
        <w:t>–</w:t>
      </w:r>
      <w:r w:rsidRPr="000B76A1">
        <w:rPr>
          <w:rFonts w:ascii="Calibri" w:eastAsia="Calibri" w:hAnsi="Calibri" w:cs="Times New Roman"/>
        </w:rPr>
        <w:t xml:space="preserve"> older people want to be connected to their community as it provides social connections, support, opportunities and a stimulating environment. </w:t>
      </w:r>
    </w:p>
    <w:p w14:paraId="291581D3" w14:textId="284C2ED7" w:rsidR="000B76A1" w:rsidRPr="000B76A1" w:rsidRDefault="000B76A1" w:rsidP="00751207">
      <w:pPr>
        <w:pStyle w:val="Heading2"/>
        <w:numPr>
          <w:ilvl w:val="0"/>
          <w:numId w:val="0"/>
        </w:numPr>
        <w:ind w:left="576" w:hanging="576"/>
        <w:rPr>
          <w:rFonts w:ascii="Calibri" w:eastAsia="Calibri" w:hAnsi="Calibri" w:cs="Times New Roman"/>
          <w:b/>
        </w:rPr>
      </w:pPr>
      <w:bookmarkStart w:id="8" w:name="_Toc459983013"/>
      <w:bookmarkStart w:id="9" w:name="_Toc460257467"/>
      <w:r w:rsidRPr="00751207">
        <w:t>Recommendations</w:t>
      </w:r>
      <w:bookmarkEnd w:id="8"/>
      <w:bookmarkEnd w:id="9"/>
    </w:p>
    <w:p w14:paraId="3922521F" w14:textId="6940CA35" w:rsidR="000B76A1" w:rsidRPr="000B76A1" w:rsidRDefault="000B76A1" w:rsidP="000B76A1">
      <w:pPr>
        <w:spacing w:after="200" w:line="276" w:lineRule="auto"/>
        <w:rPr>
          <w:rFonts w:ascii="Calibri" w:eastAsia="Calibri" w:hAnsi="Calibri" w:cs="Times New Roman"/>
        </w:rPr>
      </w:pPr>
      <w:r w:rsidRPr="000B76A1">
        <w:rPr>
          <w:rFonts w:ascii="Calibri" w:eastAsia="Calibri" w:hAnsi="Calibri" w:cs="Arial"/>
        </w:rPr>
        <w:t xml:space="preserve">The recommendations contained in the following pages are intended for immediate or short term implementation unless otherwise stated, and are to be read and considered as a suite of </w:t>
      </w:r>
      <w:r w:rsidR="00C6278D" w:rsidRPr="000B76A1">
        <w:rPr>
          <w:rFonts w:ascii="Calibri" w:eastAsia="Calibri" w:hAnsi="Calibri" w:cs="Arial"/>
        </w:rPr>
        <w:t xml:space="preserve">interrelated </w:t>
      </w:r>
      <w:r w:rsidR="00CD522B">
        <w:rPr>
          <w:rFonts w:ascii="Calibri" w:eastAsia="Calibri" w:hAnsi="Calibri" w:cs="Arial"/>
        </w:rPr>
        <w:t>actions</w:t>
      </w:r>
      <w:r w:rsidRPr="000B76A1">
        <w:rPr>
          <w:rFonts w:ascii="Calibri" w:eastAsia="Calibri" w:hAnsi="Calibri" w:cs="Arial"/>
        </w:rPr>
        <w:t xml:space="preserve">. </w:t>
      </w:r>
      <w:r w:rsidRPr="000B76A1">
        <w:rPr>
          <w:rFonts w:ascii="Calibri" w:eastAsia="Calibri" w:hAnsi="Calibri" w:cs="Times New Roman"/>
        </w:rPr>
        <w:t>The report groups the recommendations into four chapters:</w:t>
      </w:r>
    </w:p>
    <w:p w14:paraId="74B53A43" w14:textId="4D67A9DF" w:rsidR="000B76A1" w:rsidRPr="000B76A1" w:rsidRDefault="000B76A1" w:rsidP="004363AF">
      <w:pPr>
        <w:numPr>
          <w:ilvl w:val="0"/>
          <w:numId w:val="29"/>
        </w:numPr>
        <w:spacing w:after="200" w:line="276" w:lineRule="auto"/>
        <w:contextualSpacing/>
        <w:rPr>
          <w:rFonts w:ascii="Calibri" w:eastAsia="Calibri" w:hAnsi="Calibri" w:cs="Times New Roman"/>
        </w:rPr>
      </w:pPr>
      <w:r w:rsidRPr="00CD522B">
        <w:rPr>
          <w:rFonts w:ascii="Calibri" w:eastAsia="Calibri" w:hAnsi="Calibri" w:cs="Times New Roman"/>
          <w:b/>
        </w:rPr>
        <w:t>Individual resilience</w:t>
      </w:r>
      <w:r w:rsidRPr="0005526D">
        <w:rPr>
          <w:rFonts w:ascii="Calibri" w:eastAsia="Calibri" w:hAnsi="Calibri" w:cs="Times New Roman"/>
          <w:b/>
        </w:rPr>
        <w:t>:</w:t>
      </w:r>
      <w:r w:rsidRPr="000B76A1">
        <w:rPr>
          <w:rFonts w:ascii="Calibri" w:eastAsia="Calibri" w:hAnsi="Calibri" w:cs="Times New Roman"/>
        </w:rPr>
        <w:t xml:space="preserve"> these recommendations focus on the personal factors that impact on an individual’s capacity to secure or maintain a supportive living situation including: assisting vulnerable people to access and maintain appropriate housing; provid</w:t>
      </w:r>
      <w:r w:rsidR="00772FAE">
        <w:rPr>
          <w:rFonts w:ascii="Calibri" w:eastAsia="Calibri" w:hAnsi="Calibri" w:cs="Times New Roman"/>
        </w:rPr>
        <w:t>ing</w:t>
      </w:r>
      <w:r w:rsidRPr="000B76A1">
        <w:rPr>
          <w:rFonts w:ascii="Calibri" w:eastAsia="Calibri" w:hAnsi="Calibri" w:cs="Times New Roman"/>
        </w:rPr>
        <w:t xml:space="preserve"> greater security of tenure for older people in private rental housing; and support</w:t>
      </w:r>
      <w:r w:rsidR="00772FAE">
        <w:rPr>
          <w:rFonts w:ascii="Calibri" w:eastAsia="Calibri" w:hAnsi="Calibri" w:cs="Times New Roman"/>
        </w:rPr>
        <w:t>ing</w:t>
      </w:r>
      <w:r w:rsidRPr="000B76A1">
        <w:rPr>
          <w:rFonts w:ascii="Calibri" w:eastAsia="Calibri" w:hAnsi="Calibri" w:cs="Times New Roman"/>
        </w:rPr>
        <w:t xml:space="preserve"> individuals to plan for their housing future and access their housing needs.</w:t>
      </w:r>
    </w:p>
    <w:p w14:paraId="678915B9" w14:textId="3CEA489A" w:rsidR="000B76A1" w:rsidRPr="000B76A1" w:rsidRDefault="000B76A1" w:rsidP="004363AF">
      <w:pPr>
        <w:numPr>
          <w:ilvl w:val="0"/>
          <w:numId w:val="29"/>
        </w:numPr>
        <w:spacing w:after="0" w:line="276" w:lineRule="auto"/>
        <w:contextualSpacing/>
        <w:rPr>
          <w:rFonts w:ascii="Calibri" w:eastAsia="Calibri" w:hAnsi="Calibri" w:cs="Times New Roman"/>
        </w:rPr>
      </w:pPr>
      <w:r w:rsidRPr="000B76A1">
        <w:rPr>
          <w:rFonts w:ascii="Calibri" w:eastAsia="Calibri" w:hAnsi="Calibri" w:cs="Times New Roman"/>
          <w:b/>
        </w:rPr>
        <w:t>Home resilience:</w:t>
      </w:r>
      <w:r w:rsidRPr="000B76A1">
        <w:rPr>
          <w:rFonts w:ascii="Calibri" w:eastAsia="Calibri" w:hAnsi="Calibri" w:cs="Times New Roman"/>
        </w:rPr>
        <w:t xml:space="preserve"> these recommendations pertain to the individual dwelling and seek to ensure that all housing types are built to design standards that cater for the occupant’s needs and preferences </w:t>
      </w:r>
      <w:r w:rsidR="00772FAE">
        <w:rPr>
          <w:rFonts w:ascii="Calibri" w:eastAsia="Calibri" w:hAnsi="Calibri" w:cs="Times New Roman"/>
        </w:rPr>
        <w:t>over</w:t>
      </w:r>
      <w:r w:rsidRPr="000B76A1">
        <w:rPr>
          <w:rFonts w:ascii="Calibri" w:eastAsia="Calibri" w:hAnsi="Calibri" w:cs="Times New Roman"/>
        </w:rPr>
        <w:t xml:space="preserve"> the</w:t>
      </w:r>
      <w:r w:rsidR="00772FAE">
        <w:rPr>
          <w:rFonts w:ascii="Calibri" w:eastAsia="Calibri" w:hAnsi="Calibri" w:cs="Times New Roman"/>
        </w:rPr>
        <w:t>ir</w:t>
      </w:r>
      <w:r w:rsidRPr="000B76A1">
        <w:rPr>
          <w:rFonts w:ascii="Calibri" w:eastAsia="Calibri" w:hAnsi="Calibri" w:cs="Times New Roman"/>
        </w:rPr>
        <w:t xml:space="preserve"> life, and ensure that individuals are able to select the housing pathway most suitable to their needs, wants and preferences.</w:t>
      </w:r>
    </w:p>
    <w:p w14:paraId="11133DF1" w14:textId="759A4C09" w:rsidR="000B76A1" w:rsidRPr="000B76A1" w:rsidRDefault="000B76A1" w:rsidP="004363AF">
      <w:pPr>
        <w:numPr>
          <w:ilvl w:val="0"/>
          <w:numId w:val="29"/>
        </w:numPr>
        <w:spacing w:after="0" w:line="276" w:lineRule="auto"/>
        <w:contextualSpacing/>
        <w:rPr>
          <w:rFonts w:ascii="Calibri" w:eastAsia="Calibri" w:hAnsi="Calibri" w:cs="Times New Roman"/>
        </w:rPr>
      </w:pPr>
      <w:r w:rsidRPr="000B76A1">
        <w:rPr>
          <w:rFonts w:ascii="Calibri" w:eastAsia="Calibri" w:hAnsi="Calibri" w:cs="Times New Roman"/>
          <w:b/>
        </w:rPr>
        <w:lastRenderedPageBreak/>
        <w:t>Suitable housing options:</w:t>
      </w:r>
      <w:r w:rsidRPr="000B76A1">
        <w:rPr>
          <w:rFonts w:ascii="Calibri" w:eastAsia="Calibri" w:hAnsi="Calibri" w:cs="Times New Roman"/>
        </w:rPr>
        <w:t xml:space="preserve"> these recommendations seek to improve the supply of a </w:t>
      </w:r>
      <w:r w:rsidR="00772FAE">
        <w:rPr>
          <w:rFonts w:ascii="Calibri" w:eastAsia="Calibri" w:hAnsi="Calibri" w:cs="Times New Roman"/>
        </w:rPr>
        <w:t>variety</w:t>
      </w:r>
      <w:r w:rsidRPr="000B76A1">
        <w:rPr>
          <w:rFonts w:ascii="Calibri" w:eastAsia="Calibri" w:hAnsi="Calibri" w:cs="Times New Roman"/>
        </w:rPr>
        <w:t xml:space="preserve"> of housing </w:t>
      </w:r>
      <w:r w:rsidR="00772FAE">
        <w:rPr>
          <w:rFonts w:ascii="Calibri" w:eastAsia="Calibri" w:hAnsi="Calibri" w:cs="Times New Roman"/>
        </w:rPr>
        <w:t xml:space="preserve">types, </w:t>
      </w:r>
      <w:r w:rsidR="00772FAE" w:rsidRPr="000B76A1">
        <w:rPr>
          <w:rFonts w:ascii="Calibri" w:eastAsia="Calibri" w:hAnsi="Calibri" w:cs="Times New Roman"/>
        </w:rPr>
        <w:t>including new and innovative housing options</w:t>
      </w:r>
      <w:r w:rsidR="00772FAE">
        <w:rPr>
          <w:rFonts w:ascii="Calibri" w:eastAsia="Calibri" w:hAnsi="Calibri" w:cs="Times New Roman"/>
        </w:rPr>
        <w:t>. They also look to improve</w:t>
      </w:r>
      <w:r w:rsidRPr="000B76A1">
        <w:rPr>
          <w:rFonts w:ascii="Calibri" w:eastAsia="Calibri" w:hAnsi="Calibri" w:cs="Times New Roman"/>
        </w:rPr>
        <w:t xml:space="preserve"> the </w:t>
      </w:r>
      <w:r w:rsidR="00772FAE">
        <w:rPr>
          <w:rFonts w:ascii="Calibri" w:eastAsia="Calibri" w:hAnsi="Calibri" w:cs="Times New Roman"/>
        </w:rPr>
        <w:t>range</w:t>
      </w:r>
      <w:r w:rsidRPr="000B76A1">
        <w:rPr>
          <w:rFonts w:ascii="Calibri" w:eastAsia="Calibri" w:hAnsi="Calibri" w:cs="Times New Roman"/>
        </w:rPr>
        <w:t xml:space="preserve"> of financial options that enable housing choices</w:t>
      </w:r>
      <w:r w:rsidR="00CD522B">
        <w:rPr>
          <w:rFonts w:ascii="Calibri" w:eastAsia="Calibri" w:hAnsi="Calibri" w:cs="Times New Roman"/>
        </w:rPr>
        <w:t>,</w:t>
      </w:r>
      <w:r w:rsidRPr="000B76A1">
        <w:rPr>
          <w:rFonts w:ascii="Calibri" w:eastAsia="Calibri" w:hAnsi="Calibri" w:cs="Times New Roman"/>
        </w:rPr>
        <w:t xml:space="preserve"> as well as the regulatory frameworks to enable these. </w:t>
      </w:r>
    </w:p>
    <w:p w14:paraId="2A3BF0F6" w14:textId="03AD81A4" w:rsidR="000B76A1" w:rsidRPr="000B76A1" w:rsidRDefault="000B76A1" w:rsidP="004363AF">
      <w:pPr>
        <w:numPr>
          <w:ilvl w:val="0"/>
          <w:numId w:val="29"/>
        </w:numPr>
        <w:spacing w:after="0" w:line="276" w:lineRule="auto"/>
        <w:contextualSpacing/>
        <w:rPr>
          <w:rFonts w:ascii="Calibri" w:eastAsia="Calibri" w:hAnsi="Calibri" w:cs="Times New Roman"/>
        </w:rPr>
      </w:pPr>
      <w:r w:rsidRPr="000B76A1">
        <w:rPr>
          <w:rFonts w:ascii="Calibri" w:eastAsia="Calibri" w:hAnsi="Calibri" w:cs="Times New Roman"/>
          <w:b/>
        </w:rPr>
        <w:t>Suitable local community services:</w:t>
      </w:r>
      <w:r w:rsidRPr="000B76A1">
        <w:rPr>
          <w:rFonts w:ascii="Calibri" w:eastAsia="Calibri" w:hAnsi="Calibri" w:cs="Times New Roman"/>
        </w:rPr>
        <w:t xml:space="preserve"> these recommendations seek to ensure the variety, diversity and supply of appropriate community services to support ageing in place</w:t>
      </w:r>
      <w:r w:rsidR="00772FAE">
        <w:rPr>
          <w:rFonts w:ascii="Calibri" w:eastAsia="Calibri" w:hAnsi="Calibri" w:cs="Times New Roman"/>
        </w:rPr>
        <w:t>,</w:t>
      </w:r>
      <w:r w:rsidRPr="000B76A1">
        <w:rPr>
          <w:rFonts w:ascii="Calibri" w:eastAsia="Calibri" w:hAnsi="Calibri" w:cs="Times New Roman"/>
        </w:rPr>
        <w:t xml:space="preserve"> including to support the engagement of older people with technologies</w:t>
      </w:r>
      <w:r w:rsidR="00CD522B">
        <w:rPr>
          <w:rFonts w:ascii="Calibri" w:eastAsia="Calibri" w:hAnsi="Calibri" w:cs="Times New Roman"/>
        </w:rPr>
        <w:t xml:space="preserve"> that assist housing choices</w:t>
      </w:r>
      <w:r w:rsidRPr="000B76A1">
        <w:rPr>
          <w:rFonts w:ascii="Calibri" w:eastAsia="Calibri" w:hAnsi="Calibri" w:cs="Times New Roman"/>
        </w:rPr>
        <w:t>.</w:t>
      </w:r>
    </w:p>
    <w:p w14:paraId="5897DFDD" w14:textId="77777777" w:rsidR="000B76A1" w:rsidRPr="000B76A1" w:rsidRDefault="000B76A1" w:rsidP="000B76A1">
      <w:pPr>
        <w:spacing w:after="0" w:line="276" w:lineRule="auto"/>
        <w:rPr>
          <w:rFonts w:ascii="Calibri" w:eastAsia="Calibri" w:hAnsi="Calibri" w:cs="Times New Roman"/>
        </w:rPr>
      </w:pPr>
    </w:p>
    <w:p w14:paraId="5573FA99" w14:textId="77777777" w:rsidR="000B76A1" w:rsidRPr="000B76A1" w:rsidRDefault="000B76A1" w:rsidP="000B76A1">
      <w:pPr>
        <w:spacing w:after="200" w:line="276" w:lineRule="auto"/>
        <w:rPr>
          <w:rFonts w:ascii="Calibri" w:eastAsia="Calibri" w:hAnsi="Calibri" w:cs="Arial"/>
        </w:rPr>
      </w:pPr>
      <w:r w:rsidRPr="000B76A1">
        <w:rPr>
          <w:rFonts w:ascii="Calibri" w:eastAsia="Calibri" w:hAnsi="Calibri" w:cs="Arial"/>
        </w:rPr>
        <w:t>The majority of recommendations require the Queensland Government to take a leading role, including advocating to the Australian Government on a number of issues.</w:t>
      </w:r>
    </w:p>
    <w:p w14:paraId="5D61AD33" w14:textId="3AEE02EC" w:rsidR="000B76A1" w:rsidRPr="000B76A1" w:rsidRDefault="00772FAE" w:rsidP="000B76A1">
      <w:pPr>
        <w:spacing w:after="200" w:line="276" w:lineRule="auto"/>
        <w:rPr>
          <w:rFonts w:ascii="Calibri" w:eastAsia="Calibri" w:hAnsi="Calibri" w:cs="Arial"/>
        </w:rPr>
      </w:pPr>
      <w:r w:rsidRPr="00772FAE">
        <w:rPr>
          <w:rFonts w:ascii="Calibri" w:eastAsia="Calibri" w:hAnsi="Calibri" w:cs="Arial"/>
        </w:rPr>
        <w:t>Recommendations were determined on a consensus basis where possible and a majority basis where consensus was not reached. Therefore, the recommendations contained in this report may not represent the views of all Taskforce members. In such cases, it is noted in the report</w:t>
      </w:r>
      <w:r w:rsidR="000B76A1" w:rsidRPr="000B76A1">
        <w:rPr>
          <w:rFonts w:ascii="Calibri" w:eastAsia="Calibri" w:hAnsi="Calibri" w:cs="Arial"/>
        </w:rPr>
        <w:t xml:space="preserve">.  </w:t>
      </w:r>
    </w:p>
    <w:p w14:paraId="03CAE321" w14:textId="39595829" w:rsidR="000D18B4" w:rsidRPr="00A479BD" w:rsidRDefault="000D18B4" w:rsidP="000D18B4">
      <w:pPr>
        <w:rPr>
          <w:rFonts w:asciiTheme="majorHAnsi" w:eastAsiaTheme="majorEastAsia" w:hAnsiTheme="majorHAnsi" w:cstheme="majorBidi"/>
          <w:b/>
          <w:color w:val="FF0000"/>
          <w:sz w:val="28"/>
          <w:szCs w:val="28"/>
        </w:rPr>
      </w:pPr>
    </w:p>
    <w:p w14:paraId="19781AF8" w14:textId="77777777" w:rsidR="000D18B4" w:rsidRDefault="000D18B4" w:rsidP="000D18B4">
      <w:pPr>
        <w:rPr>
          <w:rFonts w:asciiTheme="majorHAnsi" w:eastAsiaTheme="majorEastAsia" w:hAnsiTheme="majorHAnsi" w:cstheme="majorBidi"/>
          <w:b/>
          <w:color w:val="FF0000"/>
          <w:sz w:val="32"/>
          <w:szCs w:val="32"/>
        </w:rPr>
      </w:pPr>
    </w:p>
    <w:p w14:paraId="2FAF557D" w14:textId="77777777" w:rsidR="000D18B4" w:rsidRDefault="000D18B4" w:rsidP="000D18B4">
      <w:pPr>
        <w:rPr>
          <w:rFonts w:asciiTheme="majorHAnsi" w:eastAsiaTheme="majorEastAsia" w:hAnsiTheme="majorHAnsi" w:cstheme="majorBidi"/>
          <w:b/>
          <w:color w:val="FF0000"/>
          <w:sz w:val="32"/>
          <w:szCs w:val="32"/>
        </w:rPr>
      </w:pPr>
    </w:p>
    <w:p w14:paraId="746F7B7E" w14:textId="77777777" w:rsidR="000D18B4" w:rsidRDefault="000D18B4" w:rsidP="000D18B4">
      <w:pPr>
        <w:rPr>
          <w:rFonts w:asciiTheme="majorHAnsi" w:eastAsiaTheme="majorEastAsia" w:hAnsiTheme="majorHAnsi" w:cstheme="majorBidi"/>
          <w:b/>
          <w:color w:val="365F91" w:themeColor="accent1" w:themeShade="BF"/>
          <w:sz w:val="32"/>
          <w:szCs w:val="32"/>
        </w:rPr>
      </w:pPr>
      <w:r w:rsidRPr="00D73D1A">
        <w:rPr>
          <w:rFonts w:asciiTheme="majorHAnsi" w:eastAsiaTheme="majorEastAsia" w:hAnsiTheme="majorHAnsi" w:cstheme="majorBidi"/>
          <w:b/>
          <w:color w:val="365F91" w:themeColor="accent1" w:themeShade="BF"/>
          <w:sz w:val="32"/>
          <w:szCs w:val="32"/>
        </w:rPr>
        <w:br w:type="page"/>
      </w:r>
    </w:p>
    <w:p w14:paraId="73E17DDE" w14:textId="4F4A1E64" w:rsidR="000D18B4" w:rsidRPr="00617952" w:rsidRDefault="000D18B4" w:rsidP="000D18B4">
      <w:pPr>
        <w:pStyle w:val="Heading"/>
      </w:pPr>
      <w:bookmarkStart w:id="10" w:name="_Toc460257468"/>
      <w:r>
        <w:lastRenderedPageBreak/>
        <w:t>RECOMMENDATIONS</w:t>
      </w:r>
      <w:bookmarkEnd w:id="10"/>
    </w:p>
    <w:p w14:paraId="2CA69979" w14:textId="149D8934" w:rsidR="000D18B4" w:rsidRDefault="000D18B4" w:rsidP="000D18B4">
      <w:pPr>
        <w:rPr>
          <w:rFonts w:asciiTheme="majorHAnsi" w:eastAsiaTheme="majorEastAsia" w:hAnsiTheme="majorHAnsi" w:cstheme="majorBidi"/>
          <w:b/>
          <w:color w:val="FF0000"/>
          <w:sz w:val="28"/>
          <w:szCs w:val="28"/>
        </w:rPr>
      </w:pPr>
    </w:p>
    <w:p w14:paraId="6C9B6ED4" w14:textId="11A0251A" w:rsidR="00AB0488" w:rsidRPr="0005526D" w:rsidRDefault="00AB0488" w:rsidP="00AB0488">
      <w:pPr>
        <w:pStyle w:val="Heading2"/>
        <w:numPr>
          <w:ilvl w:val="0"/>
          <w:numId w:val="0"/>
        </w:numPr>
        <w:rPr>
          <w:sz w:val="24"/>
          <w:szCs w:val="24"/>
        </w:rPr>
      </w:pPr>
      <w:bookmarkStart w:id="11" w:name="_Toc460257469"/>
      <w:r w:rsidRPr="0005526D">
        <w:rPr>
          <w:sz w:val="24"/>
          <w:szCs w:val="24"/>
        </w:rPr>
        <w:t>Overarching</w:t>
      </w:r>
      <w:bookmarkEnd w:id="11"/>
      <w:r w:rsidRPr="0005526D">
        <w:rPr>
          <w:sz w:val="24"/>
          <w:szCs w:val="24"/>
        </w:rPr>
        <w:t xml:space="preserve"> </w:t>
      </w:r>
    </w:p>
    <w:p w14:paraId="21F79FCC" w14:textId="2F96E52B" w:rsidR="00AB0488" w:rsidRDefault="00AB0488" w:rsidP="004363AF">
      <w:pPr>
        <w:pStyle w:val="ListParagraph"/>
        <w:numPr>
          <w:ilvl w:val="0"/>
          <w:numId w:val="30"/>
        </w:numPr>
        <w:spacing w:line="256" w:lineRule="auto"/>
      </w:pPr>
      <w:r>
        <w:t>That the Queensland Government consults and works in partnership with relevant stakeholders to implement the Taskforce’s recommendations.</w:t>
      </w:r>
    </w:p>
    <w:p w14:paraId="33BA146D" w14:textId="751D490E" w:rsidR="00AB0488" w:rsidRDefault="00AB0488" w:rsidP="004363AF">
      <w:pPr>
        <w:pStyle w:val="ListParagraph"/>
        <w:numPr>
          <w:ilvl w:val="0"/>
          <w:numId w:val="30"/>
        </w:numPr>
        <w:spacing w:line="256" w:lineRule="auto"/>
      </w:pPr>
      <w:r>
        <w:t>That the Queensland Government continues to implement</w:t>
      </w:r>
      <w:r w:rsidR="003D6CCA">
        <w:t xml:space="preserve"> and build on</w:t>
      </w:r>
      <w:r>
        <w:t xml:space="preserve"> </w:t>
      </w:r>
      <w:r>
        <w:rPr>
          <w:i/>
        </w:rPr>
        <w:t>Queensland: an age friendly community</w:t>
      </w:r>
      <w:r>
        <w:t xml:space="preserve"> action plan, in particular actions relevant to the housing domain.</w:t>
      </w:r>
    </w:p>
    <w:p w14:paraId="04AE5FBC" w14:textId="783D07D9" w:rsidR="00AB0488" w:rsidRPr="0005526D" w:rsidRDefault="00AB0488" w:rsidP="00AB0488">
      <w:pPr>
        <w:pStyle w:val="Heading2"/>
        <w:numPr>
          <w:ilvl w:val="0"/>
          <w:numId w:val="0"/>
        </w:numPr>
        <w:rPr>
          <w:sz w:val="24"/>
          <w:szCs w:val="24"/>
        </w:rPr>
      </w:pPr>
      <w:bookmarkStart w:id="12" w:name="_Toc460257470"/>
      <w:r w:rsidRPr="0005526D">
        <w:rPr>
          <w:sz w:val="24"/>
          <w:szCs w:val="24"/>
        </w:rPr>
        <w:t>Individual resilience</w:t>
      </w:r>
      <w:bookmarkEnd w:id="12"/>
    </w:p>
    <w:p w14:paraId="309B6360" w14:textId="77777777" w:rsidR="00AB0488" w:rsidRDefault="00AB0488" w:rsidP="00E338E7">
      <w:pPr>
        <w:pStyle w:val="ListParagraph"/>
        <w:numPr>
          <w:ilvl w:val="0"/>
          <w:numId w:val="50"/>
        </w:numPr>
      </w:pPr>
      <w:r w:rsidRPr="004363AF">
        <w:t>That</w:t>
      </w:r>
      <w:r>
        <w:t xml:space="preserve"> the Queensland Government assist vulnerable older people to access and maintain appropriate housing by:</w:t>
      </w:r>
    </w:p>
    <w:p w14:paraId="54401691" w14:textId="5388287A" w:rsidR="00AB0488" w:rsidRDefault="00AB0488" w:rsidP="004363AF">
      <w:pPr>
        <w:pStyle w:val="ListParagraph"/>
        <w:numPr>
          <w:ilvl w:val="0"/>
          <w:numId w:val="31"/>
        </w:numPr>
        <w:spacing w:line="256" w:lineRule="auto"/>
        <w:rPr>
          <w:lang w:eastAsia="en-AU"/>
        </w:rPr>
      </w:pPr>
      <w:r>
        <w:t>exploring options for reducing the barriers, including financial, structural and social, that discourage or prevent older people from moving or ‘right-sizing</w:t>
      </w:r>
      <w:r w:rsidR="0043239E">
        <w:t>’</w:t>
      </w:r>
      <w:r>
        <w:t xml:space="preserve"> (for example, consideration could be given to older people in exceptional circumstances receiving assistance such as stamp duty concessions) </w:t>
      </w:r>
    </w:p>
    <w:p w14:paraId="39AE9776" w14:textId="1715B59D" w:rsidR="00AB0488" w:rsidRDefault="00AB0488" w:rsidP="004363AF">
      <w:pPr>
        <w:pStyle w:val="ListParagraph"/>
        <w:numPr>
          <w:ilvl w:val="0"/>
          <w:numId w:val="31"/>
        </w:numPr>
        <w:spacing w:line="256" w:lineRule="auto"/>
        <w:rPr>
          <w:lang w:eastAsia="en-AU"/>
        </w:rPr>
      </w:pPr>
      <w:r>
        <w:rPr>
          <w:lang w:eastAsia="en-AU"/>
        </w:rPr>
        <w:t>making representation to the Australian Government for a national seniors housing policy, which addresses the Commonwealth barriers to right-sizing</w:t>
      </w:r>
    </w:p>
    <w:p w14:paraId="79F55B16" w14:textId="75B35B61" w:rsidR="00AB0488" w:rsidRDefault="00AB0488" w:rsidP="004363AF">
      <w:pPr>
        <w:pStyle w:val="ListParagraph"/>
        <w:numPr>
          <w:ilvl w:val="0"/>
          <w:numId w:val="31"/>
        </w:numPr>
        <w:spacing w:line="256" w:lineRule="auto"/>
        <w:rPr>
          <w:lang w:eastAsia="en-AU"/>
        </w:rPr>
      </w:pPr>
      <w:r>
        <w:rPr>
          <w:lang w:eastAsia="en-AU"/>
        </w:rPr>
        <w:t>reviewing all current and potential concessions and their accessibility, to ensure they meet the needs of older people who are most in need of assistance</w:t>
      </w:r>
      <w:r w:rsidR="002C34EC">
        <w:rPr>
          <w:lang w:eastAsia="en-AU"/>
        </w:rPr>
        <w:t>. C</w:t>
      </w:r>
      <w:r w:rsidR="00F52096">
        <w:rPr>
          <w:lang w:eastAsia="en-AU"/>
        </w:rPr>
        <w:t xml:space="preserve">oncessions </w:t>
      </w:r>
      <w:r w:rsidR="002C34EC">
        <w:rPr>
          <w:lang w:eastAsia="en-AU"/>
        </w:rPr>
        <w:t>need to be</w:t>
      </w:r>
      <w:r w:rsidR="00F52096">
        <w:rPr>
          <w:lang w:eastAsia="en-AU"/>
        </w:rPr>
        <w:t xml:space="preserve"> available regardless of housing choice, </w:t>
      </w:r>
      <w:r>
        <w:rPr>
          <w:lang w:eastAsia="en-AU"/>
        </w:rPr>
        <w:t xml:space="preserve">and the availability of concessions </w:t>
      </w:r>
      <w:r w:rsidR="002C34EC">
        <w:rPr>
          <w:lang w:eastAsia="en-AU"/>
        </w:rPr>
        <w:t>needs to be</w:t>
      </w:r>
      <w:r>
        <w:rPr>
          <w:lang w:eastAsia="en-AU"/>
        </w:rPr>
        <w:t xml:space="preserve"> communicated effectively. </w:t>
      </w:r>
    </w:p>
    <w:p w14:paraId="54B4574C" w14:textId="4DB7A031" w:rsidR="00AB0488" w:rsidRDefault="00AB0488" w:rsidP="00610E6C">
      <w:pPr>
        <w:pStyle w:val="TableofFigures"/>
        <w:rPr>
          <w:lang w:eastAsia="en-AU"/>
        </w:rPr>
      </w:pPr>
      <w:r>
        <w:rPr>
          <w:lang w:eastAsia="en-AU"/>
        </w:rPr>
        <w:t>That the Queensland Government explore mechanisms to support greater security of tenure for older people in private rental housing</w:t>
      </w:r>
      <w:r w:rsidR="00F52096">
        <w:rPr>
          <w:lang w:eastAsia="en-AU"/>
        </w:rPr>
        <w:t>,</w:t>
      </w:r>
      <w:r>
        <w:rPr>
          <w:lang w:eastAsia="en-AU"/>
        </w:rPr>
        <w:t xml:space="preserve"> which may include:</w:t>
      </w:r>
    </w:p>
    <w:p w14:paraId="2585E5A3" w14:textId="77777777" w:rsidR="00AB0488" w:rsidRDefault="00AB0488" w:rsidP="004363AF">
      <w:pPr>
        <w:pStyle w:val="ListParagraph"/>
        <w:numPr>
          <w:ilvl w:val="0"/>
          <w:numId w:val="32"/>
        </w:numPr>
        <w:spacing w:line="256" w:lineRule="auto"/>
        <w:rPr>
          <w:rFonts w:eastAsiaTheme="minorEastAsia"/>
          <w:noProof/>
          <w:lang w:eastAsia="en-AU"/>
        </w:rPr>
      </w:pPr>
      <w:r>
        <w:rPr>
          <w:rFonts w:eastAsiaTheme="minorEastAsia"/>
          <w:noProof/>
          <w:lang w:eastAsia="en-AU"/>
        </w:rPr>
        <w:t>working in partnership with other levels of government to strengthen assistance to people in private rental housing who are at risk of homelessness</w:t>
      </w:r>
    </w:p>
    <w:p w14:paraId="1CC76EB1" w14:textId="43DF2D48" w:rsidR="00AB0488" w:rsidRDefault="00AB0488" w:rsidP="004363AF">
      <w:pPr>
        <w:pStyle w:val="ListParagraph"/>
        <w:numPr>
          <w:ilvl w:val="0"/>
          <w:numId w:val="32"/>
        </w:numPr>
        <w:spacing w:line="256" w:lineRule="auto"/>
        <w:rPr>
          <w:rFonts w:eastAsiaTheme="minorEastAsia"/>
          <w:noProof/>
          <w:lang w:eastAsia="en-AU"/>
        </w:rPr>
      </w:pPr>
      <w:r>
        <w:rPr>
          <w:rFonts w:eastAsiaTheme="minorEastAsia"/>
          <w:noProof/>
          <w:lang w:eastAsia="en-AU"/>
        </w:rPr>
        <w:t>provid</w:t>
      </w:r>
      <w:r w:rsidR="00F52096">
        <w:rPr>
          <w:rFonts w:eastAsiaTheme="minorEastAsia"/>
          <w:noProof/>
          <w:lang w:eastAsia="en-AU"/>
        </w:rPr>
        <w:t>ing</w:t>
      </w:r>
      <w:r>
        <w:rPr>
          <w:rFonts w:eastAsiaTheme="minorEastAsia"/>
          <w:noProof/>
          <w:lang w:eastAsia="en-AU"/>
        </w:rPr>
        <w:t xml:space="preserve"> incentives for private rental landlords to have their housing modified in line with </w:t>
      </w:r>
      <w:r w:rsidR="00F52096">
        <w:rPr>
          <w:rFonts w:eastAsiaTheme="minorEastAsia"/>
          <w:noProof/>
          <w:lang w:eastAsia="en-AU"/>
        </w:rPr>
        <w:t>u</w:t>
      </w:r>
      <w:r>
        <w:rPr>
          <w:rFonts w:eastAsiaTheme="minorEastAsia"/>
          <w:noProof/>
          <w:lang w:eastAsia="en-AU"/>
        </w:rPr>
        <w:t xml:space="preserve">niversal </w:t>
      </w:r>
      <w:r w:rsidR="00F52096">
        <w:rPr>
          <w:rFonts w:eastAsiaTheme="minorEastAsia"/>
          <w:noProof/>
          <w:lang w:eastAsia="en-AU"/>
        </w:rPr>
        <w:t>h</w:t>
      </w:r>
      <w:r>
        <w:rPr>
          <w:rFonts w:eastAsiaTheme="minorEastAsia"/>
          <w:noProof/>
          <w:lang w:eastAsia="en-AU"/>
        </w:rPr>
        <w:t xml:space="preserve">ousing design principles </w:t>
      </w:r>
    </w:p>
    <w:p w14:paraId="29EE32ED" w14:textId="77777777" w:rsidR="00AB0488" w:rsidRDefault="00AB0488" w:rsidP="004363AF">
      <w:pPr>
        <w:pStyle w:val="ListParagraph"/>
        <w:numPr>
          <w:ilvl w:val="0"/>
          <w:numId w:val="32"/>
        </w:numPr>
        <w:spacing w:line="256" w:lineRule="auto"/>
        <w:rPr>
          <w:rFonts w:eastAsiaTheme="minorEastAsia"/>
          <w:noProof/>
          <w:lang w:eastAsia="en-AU"/>
        </w:rPr>
      </w:pPr>
      <w:r>
        <w:rPr>
          <w:rFonts w:eastAsiaTheme="minorEastAsia"/>
          <w:noProof/>
          <w:lang w:eastAsia="en-AU"/>
        </w:rPr>
        <w:t xml:space="preserve">partnering with relevant bodies, such as the REIQ, to advocate to landlords the benefits of letting to older tenants </w:t>
      </w:r>
    </w:p>
    <w:p w14:paraId="32247189" w14:textId="501CD152" w:rsidR="00AB0488" w:rsidRDefault="00AB0488" w:rsidP="004363AF">
      <w:pPr>
        <w:pStyle w:val="ListParagraph"/>
        <w:numPr>
          <w:ilvl w:val="0"/>
          <w:numId w:val="32"/>
        </w:numPr>
        <w:spacing w:line="256" w:lineRule="auto"/>
        <w:rPr>
          <w:rFonts w:eastAsiaTheme="minorEastAsia"/>
          <w:noProof/>
          <w:lang w:eastAsia="en-AU"/>
        </w:rPr>
      </w:pPr>
      <w:r>
        <w:rPr>
          <w:rFonts w:eastAsiaTheme="minorEastAsia"/>
          <w:noProof/>
          <w:lang w:eastAsia="en-AU"/>
        </w:rPr>
        <w:t xml:space="preserve">promoting greater security of tenure through mechanisms such as </w:t>
      </w:r>
      <w:r w:rsidR="00DD21D0">
        <w:rPr>
          <w:rFonts w:eastAsiaTheme="minorEastAsia"/>
          <w:noProof/>
          <w:lang w:eastAsia="en-AU"/>
        </w:rPr>
        <w:t>‘</w:t>
      </w:r>
      <w:r>
        <w:rPr>
          <w:rFonts w:eastAsiaTheme="minorEastAsia"/>
          <w:noProof/>
          <w:lang w:eastAsia="en-AU"/>
        </w:rPr>
        <w:t>j</w:t>
      </w:r>
      <w:r w:rsidR="00DD21D0">
        <w:rPr>
          <w:rFonts w:eastAsiaTheme="minorEastAsia"/>
          <w:noProof/>
          <w:lang w:eastAsia="en-AU"/>
        </w:rPr>
        <w:t>ust cause eviction’</w:t>
      </w:r>
      <w:r>
        <w:rPr>
          <w:rFonts w:eastAsiaTheme="minorEastAsia"/>
          <w:noProof/>
          <w:lang w:eastAsia="en-AU"/>
        </w:rPr>
        <w:t xml:space="preserve"> and withdrawal of ‘without ground</w:t>
      </w:r>
      <w:r w:rsidR="00DD21D0">
        <w:rPr>
          <w:rFonts w:eastAsiaTheme="minorEastAsia"/>
          <w:noProof/>
          <w:lang w:eastAsia="en-AU"/>
        </w:rPr>
        <w:t>s</w:t>
      </w:r>
      <w:r>
        <w:rPr>
          <w:rFonts w:eastAsiaTheme="minorEastAsia"/>
          <w:noProof/>
          <w:lang w:eastAsia="en-AU"/>
        </w:rPr>
        <w:t xml:space="preserve"> terminations’ </w:t>
      </w:r>
    </w:p>
    <w:p w14:paraId="3B245A87" w14:textId="56DA5979" w:rsidR="00AB0488" w:rsidRDefault="00AB0488" w:rsidP="004363AF">
      <w:pPr>
        <w:pStyle w:val="ListParagraph"/>
        <w:numPr>
          <w:ilvl w:val="0"/>
          <w:numId w:val="32"/>
        </w:numPr>
        <w:spacing w:line="256" w:lineRule="auto"/>
        <w:rPr>
          <w:rFonts w:eastAsiaTheme="minorEastAsia"/>
          <w:noProof/>
          <w:lang w:eastAsia="en-AU"/>
        </w:rPr>
      </w:pPr>
      <w:r>
        <w:rPr>
          <w:rFonts w:eastAsiaTheme="minorEastAsia"/>
          <w:noProof/>
          <w:lang w:eastAsia="en-AU"/>
        </w:rPr>
        <w:t>reviewing tenancy law and address</w:t>
      </w:r>
      <w:r w:rsidR="00716820">
        <w:rPr>
          <w:rFonts w:eastAsiaTheme="minorEastAsia"/>
          <w:noProof/>
          <w:lang w:eastAsia="en-AU"/>
        </w:rPr>
        <w:t>ing</w:t>
      </w:r>
      <w:r>
        <w:rPr>
          <w:rFonts w:eastAsiaTheme="minorEastAsia"/>
          <w:noProof/>
          <w:lang w:eastAsia="en-AU"/>
        </w:rPr>
        <w:t xml:space="preserve"> any impacts that may cause disadvantage. </w:t>
      </w:r>
    </w:p>
    <w:p w14:paraId="7CB1CB00" w14:textId="0857D453" w:rsidR="00AB0488" w:rsidRDefault="00AB0488" w:rsidP="00610E6C">
      <w:pPr>
        <w:pStyle w:val="TableofFigures"/>
        <w:rPr>
          <w:noProof/>
          <w:lang w:eastAsia="en-AU"/>
        </w:rPr>
      </w:pPr>
      <w:r>
        <w:rPr>
          <w:lang w:eastAsia="en-AU"/>
        </w:rPr>
        <w:t xml:space="preserve">That the Queensland Government takes a leadership role </w:t>
      </w:r>
      <w:r w:rsidR="00716820">
        <w:rPr>
          <w:lang w:eastAsia="en-AU"/>
        </w:rPr>
        <w:t>in</w:t>
      </w:r>
      <w:r>
        <w:rPr>
          <w:lang w:eastAsia="en-AU"/>
        </w:rPr>
        <w:t xml:space="preserve"> support</w:t>
      </w:r>
      <w:r w:rsidR="00716820">
        <w:rPr>
          <w:lang w:eastAsia="en-AU"/>
        </w:rPr>
        <w:t>ing</w:t>
      </w:r>
      <w:r>
        <w:rPr>
          <w:lang w:eastAsia="en-AU"/>
        </w:rPr>
        <w:t xml:space="preserve"> individuals to plan for their housing future including:</w:t>
      </w:r>
    </w:p>
    <w:p w14:paraId="4BC5B6A9" w14:textId="7CC598BD" w:rsidR="00AB0488" w:rsidRDefault="00AB0488" w:rsidP="004363AF">
      <w:pPr>
        <w:pStyle w:val="ListParagraph"/>
        <w:numPr>
          <w:ilvl w:val="0"/>
          <w:numId w:val="33"/>
        </w:numPr>
        <w:spacing w:line="256" w:lineRule="auto"/>
        <w:rPr>
          <w:lang w:eastAsia="en-AU"/>
        </w:rPr>
      </w:pPr>
      <w:r>
        <w:rPr>
          <w:lang w:eastAsia="en-AU"/>
        </w:rPr>
        <w:t>developing a long term engagement and communication strategy about options and opportunities to facilitate early planning for housing choices and financial security</w:t>
      </w:r>
      <w:r w:rsidR="002C34EC">
        <w:rPr>
          <w:lang w:eastAsia="en-AU"/>
        </w:rPr>
        <w:t>,</w:t>
      </w:r>
      <w:r>
        <w:rPr>
          <w:lang w:eastAsia="en-AU"/>
        </w:rPr>
        <w:t xml:space="preserve"> including encouraging older home owners to renovate their homes (in line with </w:t>
      </w:r>
      <w:r w:rsidR="00716820">
        <w:rPr>
          <w:lang w:eastAsia="en-AU"/>
        </w:rPr>
        <w:t>u</w:t>
      </w:r>
      <w:r>
        <w:rPr>
          <w:lang w:eastAsia="en-AU"/>
        </w:rPr>
        <w:t xml:space="preserve">niversal </w:t>
      </w:r>
      <w:r w:rsidR="00716820">
        <w:rPr>
          <w:lang w:eastAsia="en-AU"/>
        </w:rPr>
        <w:t>h</w:t>
      </w:r>
      <w:r>
        <w:rPr>
          <w:lang w:eastAsia="en-AU"/>
        </w:rPr>
        <w:t>ousing design guidelines) to accommodate future needs</w:t>
      </w:r>
    </w:p>
    <w:p w14:paraId="7AFD4E61" w14:textId="43817848" w:rsidR="00AB0488" w:rsidRDefault="00AB0488" w:rsidP="004363AF">
      <w:pPr>
        <w:pStyle w:val="ListParagraph"/>
        <w:numPr>
          <w:ilvl w:val="0"/>
          <w:numId w:val="33"/>
        </w:numPr>
        <w:spacing w:line="256" w:lineRule="auto"/>
        <w:rPr>
          <w:lang w:eastAsia="en-AU"/>
        </w:rPr>
      </w:pPr>
      <w:r>
        <w:rPr>
          <w:lang w:eastAsia="en-AU"/>
        </w:rPr>
        <w:t>exploring options to improve current financial literacy efforts</w:t>
      </w:r>
      <w:r w:rsidR="002C34EC">
        <w:rPr>
          <w:lang w:eastAsia="en-AU"/>
        </w:rPr>
        <w:t>,</w:t>
      </w:r>
      <w:r>
        <w:rPr>
          <w:lang w:eastAsia="en-AU"/>
        </w:rPr>
        <w:t xml:space="preserve"> particularly for Queensland’s older people, consistent with the </w:t>
      </w:r>
      <w:r>
        <w:rPr>
          <w:i/>
          <w:lang w:eastAsia="en-AU"/>
        </w:rPr>
        <w:t>Inquiry into the adequacy of existing financial protections of Queensland’s seniors</w:t>
      </w:r>
      <w:r>
        <w:rPr>
          <w:lang w:eastAsia="en-AU"/>
        </w:rPr>
        <w:t xml:space="preserve"> recommendations</w:t>
      </w:r>
    </w:p>
    <w:p w14:paraId="62B4C909" w14:textId="58F0321B" w:rsidR="00AB0488" w:rsidRDefault="00AB0488" w:rsidP="004363AF">
      <w:pPr>
        <w:pStyle w:val="ListParagraph"/>
        <w:numPr>
          <w:ilvl w:val="0"/>
          <w:numId w:val="33"/>
        </w:numPr>
        <w:spacing w:line="256" w:lineRule="auto"/>
        <w:rPr>
          <w:lang w:eastAsia="en-AU"/>
        </w:rPr>
      </w:pPr>
      <w:r>
        <w:rPr>
          <w:lang w:eastAsia="en-AU"/>
        </w:rPr>
        <w:t>considering opportunities for engaging with young people on topics such as financial literacy, money management, superannuation, compound interest and the advantages of saving in order to begin financial education at an early age</w:t>
      </w:r>
      <w:r w:rsidR="002C34EC">
        <w:rPr>
          <w:lang w:eastAsia="en-AU"/>
        </w:rPr>
        <w:t>.</w:t>
      </w:r>
    </w:p>
    <w:p w14:paraId="4C914A64" w14:textId="06678A6D" w:rsidR="00AB0488" w:rsidRDefault="00AB0488" w:rsidP="00610E6C">
      <w:pPr>
        <w:pStyle w:val="TableofFigures"/>
        <w:rPr>
          <w:lang w:eastAsia="en-AU"/>
        </w:rPr>
      </w:pPr>
      <w:r>
        <w:rPr>
          <w:lang w:eastAsia="en-AU"/>
        </w:rPr>
        <w:t>That the Queensland Government advocate to the Australian Government for adequate places to be available for fully</w:t>
      </w:r>
      <w:r w:rsidR="00716820">
        <w:rPr>
          <w:lang w:eastAsia="en-AU"/>
        </w:rPr>
        <w:t>-</w:t>
      </w:r>
      <w:r>
        <w:rPr>
          <w:lang w:eastAsia="en-AU"/>
        </w:rPr>
        <w:t>subsidised seniors to enter residential aged care within reasonable wait times</w:t>
      </w:r>
      <w:r w:rsidR="00716820">
        <w:rPr>
          <w:lang w:eastAsia="en-AU"/>
        </w:rPr>
        <w:t>.</w:t>
      </w:r>
      <w:r>
        <w:rPr>
          <w:lang w:eastAsia="en-AU"/>
        </w:rPr>
        <w:t xml:space="preserve"> </w:t>
      </w:r>
    </w:p>
    <w:p w14:paraId="7CDFBC49" w14:textId="0B8B9F36" w:rsidR="00AB0488" w:rsidRDefault="00AB0488" w:rsidP="00610E6C">
      <w:pPr>
        <w:pStyle w:val="TableofFigures"/>
        <w:rPr>
          <w:lang w:eastAsia="en-AU"/>
        </w:rPr>
      </w:pPr>
      <w:r>
        <w:rPr>
          <w:lang w:eastAsia="en-AU"/>
        </w:rPr>
        <w:lastRenderedPageBreak/>
        <w:t xml:space="preserve">That the Queensland Government, with relevant partners, develop innovative strategies to support older people with </w:t>
      </w:r>
      <w:r w:rsidR="00716820">
        <w:rPr>
          <w:lang w:eastAsia="en-AU"/>
        </w:rPr>
        <w:t xml:space="preserve">a </w:t>
      </w:r>
      <w:r>
        <w:rPr>
          <w:lang w:eastAsia="en-AU"/>
        </w:rPr>
        <w:t>disability, including dementia, who are living in social housing, private rental housing or are homeless</w:t>
      </w:r>
      <w:r w:rsidR="00716820">
        <w:rPr>
          <w:lang w:eastAsia="en-AU"/>
        </w:rPr>
        <w:t>,</w:t>
      </w:r>
      <w:r>
        <w:rPr>
          <w:lang w:eastAsia="en-AU"/>
        </w:rPr>
        <w:t xml:space="preserve"> to remain in their own homes or transition to more supportive housing. </w:t>
      </w:r>
    </w:p>
    <w:p w14:paraId="2E47342E" w14:textId="6C4F771C" w:rsidR="00AB0488" w:rsidRPr="0005526D" w:rsidRDefault="00AB0488" w:rsidP="00AB0488">
      <w:pPr>
        <w:pStyle w:val="Heading2"/>
        <w:numPr>
          <w:ilvl w:val="0"/>
          <w:numId w:val="0"/>
        </w:numPr>
        <w:rPr>
          <w:sz w:val="24"/>
          <w:szCs w:val="24"/>
        </w:rPr>
      </w:pPr>
      <w:bookmarkStart w:id="13" w:name="_Toc460257471"/>
      <w:r w:rsidRPr="0005526D">
        <w:rPr>
          <w:sz w:val="24"/>
          <w:szCs w:val="24"/>
        </w:rPr>
        <w:t>Home resilience</w:t>
      </w:r>
      <w:bookmarkEnd w:id="13"/>
    </w:p>
    <w:p w14:paraId="7CA9A5B2" w14:textId="5B877DEE" w:rsidR="00AB0488" w:rsidRDefault="00AB0488" w:rsidP="00610E6C">
      <w:pPr>
        <w:pStyle w:val="TableofFigures"/>
      </w:pPr>
      <w:r>
        <w:t xml:space="preserve">That the Queensland Government convene innovation workshops with expert facilitators to </w:t>
      </w:r>
      <w:r w:rsidR="00E338E7">
        <w:t xml:space="preserve">          </w:t>
      </w:r>
      <w:r>
        <w:t>co-create with diverse cohorts of vulnerable older people (including the general older population, Aboriginal and Torres Strait Islander peoples and older people from culturally and linguistically diverse backgrounds) to:</w:t>
      </w:r>
    </w:p>
    <w:p w14:paraId="13468777" w14:textId="68B15185" w:rsidR="00AB0488" w:rsidRPr="003D6CCA" w:rsidRDefault="00AB0488" w:rsidP="004363AF">
      <w:pPr>
        <w:pStyle w:val="ListParagraph"/>
        <w:numPr>
          <w:ilvl w:val="0"/>
          <w:numId w:val="39"/>
        </w:numPr>
      </w:pPr>
      <w:r w:rsidRPr="00BC66AD">
        <w:t>develop strategies that support older people to transition to alternative housing as</w:t>
      </w:r>
      <w:r w:rsidR="002C34EC" w:rsidRPr="003D6CCA">
        <w:t>,</w:t>
      </w:r>
      <w:r w:rsidRPr="003D6CCA">
        <w:t xml:space="preserve"> and when</w:t>
      </w:r>
      <w:r w:rsidR="002C34EC" w:rsidRPr="003D6CCA">
        <w:t>,</w:t>
      </w:r>
      <w:r w:rsidRPr="003D6CCA">
        <w:t xml:space="preserve"> needed </w:t>
      </w:r>
    </w:p>
    <w:p w14:paraId="13C7A5FE" w14:textId="77777777" w:rsidR="00AB0488" w:rsidRPr="003D6CCA" w:rsidRDefault="00AB0488" w:rsidP="004363AF">
      <w:pPr>
        <w:pStyle w:val="ListParagraph"/>
        <w:numPr>
          <w:ilvl w:val="0"/>
          <w:numId w:val="39"/>
        </w:numPr>
      </w:pPr>
      <w:r w:rsidRPr="003D6CCA">
        <w:t xml:space="preserve">develop appropriate communication and engagement mechanisms for those who need and/or want it   </w:t>
      </w:r>
    </w:p>
    <w:p w14:paraId="6D37B8DE" w14:textId="77777777" w:rsidR="00AB0488" w:rsidRDefault="00AB0488" w:rsidP="004363AF">
      <w:pPr>
        <w:pStyle w:val="ListParagraph"/>
        <w:numPr>
          <w:ilvl w:val="0"/>
          <w:numId w:val="39"/>
        </w:numPr>
      </w:pPr>
      <w:r w:rsidRPr="003D6CCA">
        <w:t>facilitate</w:t>
      </w:r>
      <w:r>
        <w:t xml:space="preserve"> the co-design of new housing models to ensure suitability and cultural appropriateness.</w:t>
      </w:r>
    </w:p>
    <w:p w14:paraId="0DBC1450" w14:textId="77777777" w:rsidR="00AB0488" w:rsidRPr="0005526D" w:rsidRDefault="00AB0488" w:rsidP="00610E6C">
      <w:pPr>
        <w:pStyle w:val="TableofFigures"/>
        <w:rPr>
          <w:rFonts w:eastAsiaTheme="minorEastAsia"/>
          <w:lang w:eastAsia="en-AU"/>
        </w:rPr>
      </w:pPr>
      <w:r>
        <w:t>That the Queensland Government retain and expand its investment in critical and cost-effective Home Assist Secure services, to support ageing in place.</w:t>
      </w:r>
    </w:p>
    <w:p w14:paraId="0363F7B0" w14:textId="6028A45D" w:rsidR="00AB0488" w:rsidRDefault="00AB0488" w:rsidP="00610E6C">
      <w:pPr>
        <w:pStyle w:val="TableofFigures"/>
      </w:pPr>
      <w:r>
        <w:t>Th</w:t>
      </w:r>
      <w:r w:rsidR="00716820">
        <w:t>at th</w:t>
      </w:r>
      <w:r>
        <w:t xml:space="preserve">e Queensland Government adopt a policy position to mandate that all new housing and retrofits be designed to </w:t>
      </w:r>
      <w:r w:rsidR="00716820">
        <w:t>u</w:t>
      </w:r>
      <w:r>
        <w:t xml:space="preserve">niversal </w:t>
      </w:r>
      <w:r w:rsidR="00716820">
        <w:t>h</w:t>
      </w:r>
      <w:r>
        <w:t>ousing design standards in order to facilitate an appropriate stock of accessible housing into the future</w:t>
      </w:r>
      <w:r w:rsidR="00467737">
        <w:t xml:space="preserve">, consistent with commitments made in the Council of Australian Governments’ </w:t>
      </w:r>
      <w:r w:rsidR="00467737" w:rsidRPr="00467737">
        <w:rPr>
          <w:i/>
        </w:rPr>
        <w:t>National Disability Strategy 2010-2020</w:t>
      </w:r>
      <w:r>
        <w:t xml:space="preserve">.* This would include development of a strategic plan to achieve a mandated regime by 2020. The strategic plan could include steps to implementation including aspects such as innovation in design, changes to the planning regime and building codes and industry education. Innovative design options could be supported through a grants round similar to the </w:t>
      </w:r>
      <w:r w:rsidRPr="0005526D">
        <w:rPr>
          <w:i/>
        </w:rPr>
        <w:t>Advance Queensland Small Business Innovation Research</w:t>
      </w:r>
      <w:r>
        <w:t xml:space="preserve"> pilot or </w:t>
      </w:r>
      <w:r w:rsidRPr="0005526D">
        <w:rPr>
          <w:i/>
        </w:rPr>
        <w:t>Advance Queensland Strategy</w:t>
      </w:r>
      <w:r>
        <w:t>.</w:t>
      </w:r>
    </w:p>
    <w:p w14:paraId="2D21DE60" w14:textId="759144D0" w:rsidR="00AB0488" w:rsidRDefault="00AB0488" w:rsidP="00AB0488">
      <w:r>
        <w:t xml:space="preserve">* Note a contrary view was expressed by one Taskforce member. See Chapter 6.2 and Appendix 5. </w:t>
      </w:r>
    </w:p>
    <w:p w14:paraId="075CCEA3" w14:textId="2F8191AC" w:rsidR="00AB0488" w:rsidRPr="0005526D" w:rsidRDefault="00AB0488" w:rsidP="00AB0488">
      <w:pPr>
        <w:pStyle w:val="Heading2"/>
        <w:numPr>
          <w:ilvl w:val="0"/>
          <w:numId w:val="0"/>
        </w:numPr>
        <w:rPr>
          <w:sz w:val="24"/>
          <w:szCs w:val="24"/>
        </w:rPr>
      </w:pPr>
      <w:bookmarkStart w:id="14" w:name="_Toc460257472"/>
      <w:r w:rsidRPr="0005526D">
        <w:rPr>
          <w:sz w:val="24"/>
          <w:szCs w:val="24"/>
        </w:rPr>
        <w:t>Suitable housing options</w:t>
      </w:r>
      <w:bookmarkEnd w:id="14"/>
    </w:p>
    <w:p w14:paraId="0E6FFAD1" w14:textId="64852C57" w:rsidR="00AB0488" w:rsidRDefault="00AB0488" w:rsidP="00610E6C">
      <w:pPr>
        <w:pStyle w:val="TableofFigures"/>
      </w:pPr>
      <w:r>
        <w:t xml:space="preserve">That the Queensland Government develop a strategic plan to develop and enact suitable housing options for current and emerging older people. The plan </w:t>
      </w:r>
      <w:r w:rsidR="00756AA9">
        <w:t>c</w:t>
      </w:r>
      <w:r>
        <w:t>ould include:</w:t>
      </w:r>
    </w:p>
    <w:p w14:paraId="78F5CEDB" w14:textId="77777777" w:rsidR="00AB0488" w:rsidRDefault="00AB0488" w:rsidP="004363AF">
      <w:pPr>
        <w:pStyle w:val="ListParagraph"/>
        <w:numPr>
          <w:ilvl w:val="0"/>
          <w:numId w:val="34"/>
        </w:numPr>
        <w:spacing w:line="256" w:lineRule="auto"/>
      </w:pPr>
      <w:r>
        <w:t>facilitating and enacting new housing typologies and planning regimes with particular emphasis on developing senior housing options embedded within established communities</w:t>
      </w:r>
    </w:p>
    <w:p w14:paraId="090DAAD6" w14:textId="77777777" w:rsidR="00AB0488" w:rsidRDefault="00AB0488" w:rsidP="004363AF">
      <w:pPr>
        <w:pStyle w:val="ListParagraph"/>
        <w:numPr>
          <w:ilvl w:val="0"/>
          <w:numId w:val="34"/>
        </w:numPr>
        <w:spacing w:after="0" w:line="256" w:lineRule="auto"/>
      </w:pPr>
      <w:r>
        <w:t>using its land holdings to deliver exemplar community developments that deliver diverse housing options</w:t>
      </w:r>
    </w:p>
    <w:p w14:paraId="6C5F9035" w14:textId="745F55AE" w:rsidR="00AB0488" w:rsidRDefault="00AB0488" w:rsidP="00610E6C">
      <w:pPr>
        <w:pStyle w:val="TableofFigures"/>
        <w:numPr>
          <w:ilvl w:val="0"/>
          <w:numId w:val="40"/>
        </w:numPr>
        <w:rPr>
          <w:rFonts w:eastAsiaTheme="minorEastAsia"/>
          <w:lang w:eastAsia="en-AU"/>
        </w:rPr>
      </w:pPr>
      <w:r>
        <w:t xml:space="preserve">exploring options for providing incentives to organisations for the provision of housing where an identified need for housing is established in a regional or remote community </w:t>
      </w:r>
    </w:p>
    <w:p w14:paraId="292C3180" w14:textId="77777777" w:rsidR="00AB0488" w:rsidRDefault="00AB0488" w:rsidP="004363AF">
      <w:pPr>
        <w:pStyle w:val="ListParagraph"/>
        <w:numPr>
          <w:ilvl w:val="0"/>
          <w:numId w:val="34"/>
        </w:numPr>
        <w:spacing w:after="0" w:line="256" w:lineRule="auto"/>
      </w:pPr>
      <w:r>
        <w:t xml:space="preserve">developing mechanisms for building links and partnerships between government, universities, industry and community to promote research and innovation in housing design for older people through the </w:t>
      </w:r>
      <w:r>
        <w:rPr>
          <w:i/>
        </w:rPr>
        <w:t xml:space="preserve">Advance Queensland </w:t>
      </w:r>
      <w:r>
        <w:t xml:space="preserve">Strategy or the </w:t>
      </w:r>
      <w:r>
        <w:rPr>
          <w:i/>
        </w:rPr>
        <w:t>Advancing Queensland: an age-friendly community</w:t>
      </w:r>
      <w:r>
        <w:t xml:space="preserve"> grants program</w:t>
      </w:r>
    </w:p>
    <w:p w14:paraId="1F73B2E0" w14:textId="77777777" w:rsidR="00AB0488" w:rsidRDefault="00AB0488" w:rsidP="004363AF">
      <w:pPr>
        <w:pStyle w:val="ListParagraph"/>
        <w:numPr>
          <w:ilvl w:val="0"/>
          <w:numId w:val="34"/>
        </w:numPr>
        <w:spacing w:after="0" w:line="256" w:lineRule="auto"/>
        <w:rPr>
          <w:rStyle w:val="Hyperlink"/>
        </w:rPr>
      </w:pPr>
      <w:r w:rsidRPr="002C34EC">
        <w:t xml:space="preserve">engaging or partnering with private equity firms, superannuation and affinity organisations to </w:t>
      </w:r>
      <w:r>
        <w:t>encourage and facilitate their investment, including social impact investment, in affordable and accessible housing to older people</w:t>
      </w:r>
    </w:p>
    <w:p w14:paraId="34A1F7C5" w14:textId="0A0E3F5A" w:rsidR="00AB0488" w:rsidRPr="00DC7291" w:rsidRDefault="00AB0488" w:rsidP="004363AF">
      <w:pPr>
        <w:pStyle w:val="ListParagraph"/>
        <w:numPr>
          <w:ilvl w:val="0"/>
          <w:numId w:val="41"/>
        </w:numPr>
      </w:pPr>
      <w:r w:rsidRPr="00BC66AD">
        <w:t>evaluating the Ageing in Place Pilot project a</w:t>
      </w:r>
      <w:r w:rsidRPr="003D6CCA">
        <w:t>nd considering options for broader implementation</w:t>
      </w:r>
    </w:p>
    <w:p w14:paraId="0BDA55CE" w14:textId="746F7CDB" w:rsidR="00B067D7" w:rsidRDefault="00AB0488" w:rsidP="004363AF">
      <w:pPr>
        <w:pStyle w:val="ListParagraph"/>
        <w:numPr>
          <w:ilvl w:val="0"/>
          <w:numId w:val="41"/>
        </w:numPr>
        <w:rPr>
          <w:noProof/>
        </w:rPr>
      </w:pPr>
      <w:r w:rsidRPr="003D6CCA">
        <w:t>expanding</w:t>
      </w:r>
      <w:r>
        <w:t xml:space="preserve"> the community housing </w:t>
      </w:r>
      <w:r w:rsidR="002C34EC">
        <w:t>head lease</w:t>
      </w:r>
      <w:r>
        <w:t xml:space="preserve"> scheme to other seniors housing types</w:t>
      </w:r>
      <w:r w:rsidR="00B067D7">
        <w:t>,</w:t>
      </w:r>
      <w:r>
        <w:t xml:space="preserve"> including manufactured homes and retirement villages (for vulnerable or disadvantaged older people)</w:t>
      </w:r>
    </w:p>
    <w:p w14:paraId="6FB14106" w14:textId="7AA53966" w:rsidR="00AB0488" w:rsidRDefault="00AB0488" w:rsidP="004363AF">
      <w:pPr>
        <w:pStyle w:val="ListParagraph"/>
        <w:numPr>
          <w:ilvl w:val="0"/>
          <w:numId w:val="41"/>
        </w:numPr>
        <w:rPr>
          <w:noProof/>
        </w:rPr>
      </w:pPr>
      <w:r>
        <w:lastRenderedPageBreak/>
        <w:t xml:space="preserve">stimulating connections with community hubs to facilitate interconnections and engagement among and between children, young, middle-aged and older people and families through the </w:t>
      </w:r>
      <w:r w:rsidRPr="00BC66AD">
        <w:rPr>
          <w:i/>
        </w:rPr>
        <w:t>Advancing Queensland: an age-friendly co</w:t>
      </w:r>
      <w:r w:rsidRPr="007769BD">
        <w:rPr>
          <w:i/>
        </w:rPr>
        <w:t>mmunity</w:t>
      </w:r>
      <w:r>
        <w:t xml:space="preserve"> grants program.</w:t>
      </w:r>
    </w:p>
    <w:p w14:paraId="7E187DFC" w14:textId="77777777" w:rsidR="00AB0488" w:rsidRPr="00A54C64" w:rsidRDefault="00AB0488" w:rsidP="00610E6C">
      <w:pPr>
        <w:pStyle w:val="TableofFigures"/>
        <w:rPr>
          <w:color w:val="auto"/>
        </w:rPr>
      </w:pPr>
      <w:r w:rsidRPr="004363AF">
        <w:t>That</w:t>
      </w:r>
      <w:r>
        <w:t xml:space="preserve"> the Queensland Government and local governments actively pursue innovative partnerships and use planning mechanisms to facilitate and deliver new models of affordable housing for vulnerable older people to:</w:t>
      </w:r>
    </w:p>
    <w:p w14:paraId="0CA621AA" w14:textId="77777777" w:rsidR="00AB0488" w:rsidRDefault="00AB0488" w:rsidP="004363AF">
      <w:pPr>
        <w:numPr>
          <w:ilvl w:val="1"/>
          <w:numId w:val="35"/>
        </w:numPr>
        <w:spacing w:after="0" w:line="240" w:lineRule="auto"/>
        <w:ind w:left="723"/>
        <w:contextualSpacing/>
      </w:pPr>
      <w:r>
        <w:t>support a range of diverse housing options</w:t>
      </w:r>
    </w:p>
    <w:p w14:paraId="5C6626A3" w14:textId="04B0120C" w:rsidR="00AB0488" w:rsidRDefault="00AB0488" w:rsidP="004363AF">
      <w:pPr>
        <w:numPr>
          <w:ilvl w:val="1"/>
          <w:numId w:val="35"/>
        </w:numPr>
        <w:spacing w:after="0" w:line="240" w:lineRule="auto"/>
        <w:ind w:left="723"/>
        <w:contextualSpacing/>
      </w:pPr>
      <w:r>
        <w:t>innovate in the us</w:t>
      </w:r>
      <w:r w:rsidR="00B067D7">
        <w:t>e</w:t>
      </w:r>
      <w:r>
        <w:t xml:space="preserve"> and availability of land </w:t>
      </w:r>
    </w:p>
    <w:p w14:paraId="55E517AD" w14:textId="77777777" w:rsidR="00AB0488" w:rsidRDefault="00AB0488" w:rsidP="004363AF">
      <w:pPr>
        <w:numPr>
          <w:ilvl w:val="1"/>
          <w:numId w:val="35"/>
        </w:numPr>
        <w:spacing w:after="0" w:line="240" w:lineRule="auto"/>
        <w:ind w:left="723"/>
        <w:contextualSpacing/>
      </w:pPr>
      <w:r>
        <w:t xml:space="preserve">minimise the timeframes and costs imposed through the planning approval process </w:t>
      </w:r>
    </w:p>
    <w:p w14:paraId="50CA273B" w14:textId="77777777" w:rsidR="00AB0488" w:rsidRDefault="00AB0488" w:rsidP="004363AF">
      <w:pPr>
        <w:numPr>
          <w:ilvl w:val="1"/>
          <w:numId w:val="35"/>
        </w:numPr>
        <w:spacing w:after="0" w:line="240" w:lineRule="auto"/>
        <w:ind w:left="723"/>
        <w:contextualSpacing/>
      </w:pPr>
      <w:r>
        <w:t>consider design innovations to encourage development of smaller, affordable and better-located housing</w:t>
      </w:r>
    </w:p>
    <w:p w14:paraId="764FE509" w14:textId="084EB408" w:rsidR="00AB0488" w:rsidRDefault="00CF53F0" w:rsidP="00CF53F0">
      <w:pPr>
        <w:numPr>
          <w:ilvl w:val="1"/>
          <w:numId w:val="35"/>
        </w:numPr>
        <w:spacing w:after="0" w:line="240" w:lineRule="auto"/>
        <w:ind w:left="723"/>
        <w:contextualSpacing/>
      </w:pPr>
      <w:r>
        <w:t xml:space="preserve">use incentives and other strategies to significantly increase the delivery of affordable and accessible housing </w:t>
      </w:r>
    </w:p>
    <w:p w14:paraId="72128BF8" w14:textId="77777777" w:rsidR="00AB0488" w:rsidRDefault="00AB0488" w:rsidP="004363AF">
      <w:pPr>
        <w:pStyle w:val="ListParagraph"/>
        <w:numPr>
          <w:ilvl w:val="0"/>
          <w:numId w:val="36"/>
        </w:numPr>
        <w:spacing w:line="256" w:lineRule="auto"/>
      </w:pPr>
      <w:r>
        <w:t xml:space="preserve">provide incentives for diverse age-friendly housing, for example: </w:t>
      </w:r>
    </w:p>
    <w:p w14:paraId="4C90931E" w14:textId="2E0FDCB8" w:rsidR="00AB0488" w:rsidRDefault="00B067D7" w:rsidP="004363AF">
      <w:pPr>
        <w:pStyle w:val="ListParagraph"/>
        <w:numPr>
          <w:ilvl w:val="1"/>
          <w:numId w:val="36"/>
        </w:numPr>
        <w:spacing w:line="256" w:lineRule="auto"/>
      </w:pPr>
      <w:r>
        <w:t>s</w:t>
      </w:r>
      <w:r w:rsidR="00AB0488">
        <w:t>eniors’ clusters housing (involving a small number of dwellings built around a common green space)</w:t>
      </w:r>
    </w:p>
    <w:p w14:paraId="6168C0A3" w14:textId="7BE94CD0" w:rsidR="00AB0488" w:rsidRDefault="00B067D7" w:rsidP="004363AF">
      <w:pPr>
        <w:pStyle w:val="ListParagraph"/>
        <w:numPr>
          <w:ilvl w:val="1"/>
          <w:numId w:val="36"/>
        </w:numPr>
        <w:spacing w:line="256" w:lineRule="auto"/>
      </w:pPr>
      <w:r>
        <w:t>c</w:t>
      </w:r>
      <w:r w:rsidR="00AB0488">
        <w:t>o-housing (private homes supplemented by shared facilities)</w:t>
      </w:r>
    </w:p>
    <w:p w14:paraId="0AB305C9" w14:textId="41B8F282" w:rsidR="00AB0488" w:rsidRDefault="00B067D7" w:rsidP="004363AF">
      <w:pPr>
        <w:pStyle w:val="ListParagraph"/>
        <w:numPr>
          <w:ilvl w:val="1"/>
          <w:numId w:val="36"/>
        </w:numPr>
        <w:spacing w:line="256" w:lineRule="auto"/>
      </w:pPr>
      <w:r>
        <w:t>‘a</w:t>
      </w:r>
      <w:r w:rsidR="00AB0488">
        <w:t xml:space="preserve">partments for </w:t>
      </w:r>
      <w:r>
        <w:t>l</w:t>
      </w:r>
      <w:r w:rsidR="00AB0488">
        <w:t>ife</w:t>
      </w:r>
      <w:r>
        <w:t>’</w:t>
      </w:r>
      <w:r w:rsidR="00AB0488">
        <w:t xml:space="preserve"> (apartment complexes run by independent older people offering services as needed, including medical, daily care, recreational, educational and social, up to and including nursing home-type care)</w:t>
      </w:r>
    </w:p>
    <w:p w14:paraId="10F197F6" w14:textId="4E08EF95" w:rsidR="00AB0488" w:rsidRDefault="00AB0488" w:rsidP="004363AF">
      <w:pPr>
        <w:pStyle w:val="ListParagraph"/>
        <w:numPr>
          <w:ilvl w:val="1"/>
          <w:numId w:val="36"/>
        </w:numPr>
        <w:spacing w:after="0" w:line="256" w:lineRule="auto"/>
      </w:pPr>
      <w:r>
        <w:t xml:space="preserve">development of </w:t>
      </w:r>
      <w:r w:rsidR="00B067D7">
        <w:t>‘n</w:t>
      </w:r>
      <w:r>
        <w:t xml:space="preserve">aturally </w:t>
      </w:r>
      <w:r w:rsidR="00B067D7">
        <w:t>o</w:t>
      </w:r>
      <w:r>
        <w:t xml:space="preserve">ccurring </w:t>
      </w:r>
      <w:r w:rsidR="00B067D7">
        <w:t>r</w:t>
      </w:r>
      <w:r>
        <w:t xml:space="preserve">etirement </w:t>
      </w:r>
      <w:r w:rsidR="00B067D7">
        <w:t>c</w:t>
      </w:r>
      <w:r>
        <w:t>ommunities</w:t>
      </w:r>
      <w:r w:rsidR="00B067D7">
        <w:t>’</w:t>
      </w:r>
      <w:r>
        <w:t xml:space="preserve"> (NORCs) and </w:t>
      </w:r>
      <w:r w:rsidR="00B067D7">
        <w:t>‘v</w:t>
      </w:r>
      <w:r>
        <w:t xml:space="preserve">irtual </w:t>
      </w:r>
      <w:r w:rsidR="00B067D7">
        <w:t>r</w:t>
      </w:r>
      <w:r>
        <w:t xml:space="preserve">etirement </w:t>
      </w:r>
      <w:r w:rsidR="00B067D7">
        <w:t>v</w:t>
      </w:r>
      <w:r>
        <w:t>illages</w:t>
      </w:r>
      <w:r w:rsidR="00B067D7">
        <w:t>’</w:t>
      </w:r>
      <w:r>
        <w:t>.</w:t>
      </w:r>
    </w:p>
    <w:p w14:paraId="1F5F64BA" w14:textId="24886818" w:rsidR="00AB0488" w:rsidRPr="0068700E" w:rsidRDefault="00AB0488" w:rsidP="004363AF">
      <w:pPr>
        <w:pStyle w:val="ListParagraph"/>
        <w:numPr>
          <w:ilvl w:val="0"/>
          <w:numId w:val="42"/>
        </w:numPr>
        <w:rPr>
          <w:rFonts w:eastAsiaTheme="minorEastAsia"/>
          <w:lang w:eastAsia="en-AU"/>
        </w:rPr>
      </w:pPr>
      <w:r w:rsidRPr="00BC66AD">
        <w:t>provide</w:t>
      </w:r>
      <w:r>
        <w:t xml:space="preserve"> incentives or concessions and lower barriers for retrofit</w:t>
      </w:r>
      <w:r w:rsidR="00B067D7">
        <w:t>ting</w:t>
      </w:r>
      <w:r>
        <w:t xml:space="preserve"> or provi</w:t>
      </w:r>
      <w:r w:rsidR="00B067D7">
        <w:t>ding</w:t>
      </w:r>
      <w:r>
        <w:t xml:space="preserve"> new housing </w:t>
      </w:r>
      <w:r w:rsidR="00B067D7">
        <w:t>for</w:t>
      </w:r>
      <w:r>
        <w:t xml:space="preserve"> older people as part of an age-friendly approach.</w:t>
      </w:r>
    </w:p>
    <w:p w14:paraId="29A7FB6E" w14:textId="0F7DB5EC" w:rsidR="00AB0488" w:rsidRDefault="00AB0488" w:rsidP="00610E6C">
      <w:pPr>
        <w:pStyle w:val="TableofFigures"/>
      </w:pPr>
      <w:r>
        <w:t>That the Queensland Government, as part of develop</w:t>
      </w:r>
      <w:r w:rsidR="00E338E7">
        <w:t>ment of the new</w:t>
      </w:r>
      <w:r>
        <w:t xml:space="preserve"> </w:t>
      </w:r>
      <w:r w:rsidR="00B067D7">
        <w:t>h</w:t>
      </w:r>
      <w:r>
        <w:t xml:space="preserve">ousing </w:t>
      </w:r>
      <w:r w:rsidR="00B067D7">
        <w:t>s</w:t>
      </w:r>
      <w:r>
        <w:t xml:space="preserve">trategy, consider the current regulatory framework for seniors living, including </w:t>
      </w:r>
      <w:r w:rsidR="00B067D7">
        <w:t>r</w:t>
      </w:r>
      <w:r>
        <w:t xml:space="preserve">etirement </w:t>
      </w:r>
      <w:r w:rsidR="00B067D7">
        <w:t>v</w:t>
      </w:r>
      <w:r>
        <w:t xml:space="preserve">illages and </w:t>
      </w:r>
      <w:r w:rsidR="00B067D7">
        <w:t>m</w:t>
      </w:r>
      <w:r>
        <w:t xml:space="preserve">anufactured </w:t>
      </w:r>
      <w:r w:rsidR="00B067D7">
        <w:t>h</w:t>
      </w:r>
      <w:r>
        <w:t>omes, as a platform for development of new legislative models for housing options for the ageing population.</w:t>
      </w:r>
    </w:p>
    <w:p w14:paraId="2C6565DB" w14:textId="2EC671BD" w:rsidR="00AB0488" w:rsidRPr="00A54C64" w:rsidRDefault="00AB0488" w:rsidP="00610E6C">
      <w:pPr>
        <w:pStyle w:val="TableofFigures"/>
        <w:rPr>
          <w:color w:val="auto"/>
        </w:rPr>
      </w:pPr>
      <w:r>
        <w:t>Establish an ongoing roundtable of industry, financial institutions, universities, government, consumers and other stakeholders to develop financial models and products</w:t>
      </w:r>
      <w:r w:rsidR="00B067D7">
        <w:t xml:space="preserve"> that</w:t>
      </w:r>
      <w:r>
        <w:t>:</w:t>
      </w:r>
    </w:p>
    <w:p w14:paraId="4901538E" w14:textId="7AFD5724" w:rsidR="00AB0488" w:rsidRDefault="00B067D7" w:rsidP="004363AF">
      <w:pPr>
        <w:numPr>
          <w:ilvl w:val="1"/>
          <w:numId w:val="35"/>
        </w:numPr>
        <w:spacing w:after="0" w:line="240" w:lineRule="auto"/>
        <w:ind w:left="723"/>
        <w:contextualSpacing/>
      </w:pPr>
      <w:r>
        <w:t>a</w:t>
      </w:r>
      <w:r w:rsidR="00AB0488">
        <w:t>llow</w:t>
      </w:r>
      <w:r>
        <w:t xml:space="preserve"> and </w:t>
      </w:r>
      <w:r w:rsidR="00AB0488">
        <w:t>encourage older people to right-size and/or age in place</w:t>
      </w:r>
    </w:p>
    <w:p w14:paraId="52EF55FC" w14:textId="1CE4B730" w:rsidR="00AB0488" w:rsidRDefault="00AB0488" w:rsidP="004363AF">
      <w:pPr>
        <w:numPr>
          <w:ilvl w:val="1"/>
          <w:numId w:val="35"/>
        </w:numPr>
        <w:spacing w:after="0" w:line="240" w:lineRule="auto"/>
        <w:ind w:left="723"/>
        <w:contextualSpacing/>
      </w:pPr>
      <w:r>
        <w:t>are well understood, allowing people to make informed and confident choices</w:t>
      </w:r>
    </w:p>
    <w:p w14:paraId="42C297DD" w14:textId="39CB2603" w:rsidR="00AB0488" w:rsidRDefault="00E338E7" w:rsidP="004363AF">
      <w:pPr>
        <w:numPr>
          <w:ilvl w:val="1"/>
          <w:numId w:val="35"/>
        </w:numPr>
        <w:spacing w:line="240" w:lineRule="auto"/>
        <w:ind w:left="723"/>
        <w:contextualSpacing/>
      </w:pPr>
      <w:r>
        <w:t xml:space="preserve">are </w:t>
      </w:r>
      <w:r w:rsidR="00AB0488">
        <w:t>regulat</w:t>
      </w:r>
      <w:r>
        <w:t>ed</w:t>
      </w:r>
      <w:r w:rsidR="00AB0488">
        <w:t xml:space="preserve"> and safeguard </w:t>
      </w:r>
      <w:r w:rsidR="002C34EC">
        <w:t xml:space="preserve">to </w:t>
      </w:r>
      <w:r w:rsidR="00AB0488">
        <w:t>protect older people from negative outcomes</w:t>
      </w:r>
      <w:r w:rsidR="00B067D7">
        <w:t>.</w:t>
      </w:r>
    </w:p>
    <w:p w14:paraId="3E48C1AB" w14:textId="77777777" w:rsidR="00AB0488" w:rsidRDefault="00AB0488" w:rsidP="00610E6C">
      <w:pPr>
        <w:pStyle w:val="TableofFigures"/>
      </w:pPr>
      <w:r>
        <w:t>That the Queensland Government advocate to the Australian Government on:</w:t>
      </w:r>
    </w:p>
    <w:p w14:paraId="083A826F" w14:textId="77777777" w:rsidR="00AB0488" w:rsidRDefault="00AB0488" w:rsidP="004363AF">
      <w:pPr>
        <w:numPr>
          <w:ilvl w:val="1"/>
          <w:numId w:val="35"/>
        </w:numPr>
        <w:spacing w:after="0" w:line="240" w:lineRule="auto"/>
        <w:ind w:left="723"/>
        <w:contextualSpacing/>
      </w:pPr>
      <w:r>
        <w:t>reinstating the National Rental Affordability Scheme (NRAS) or initiate a similar program as a means of providing affordable housing accessible to vulnerable or disadvantaged older people</w:t>
      </w:r>
    </w:p>
    <w:p w14:paraId="47AA9079" w14:textId="06450B9C" w:rsidR="00AB0488" w:rsidRDefault="00AB0488" w:rsidP="004363AF">
      <w:pPr>
        <w:numPr>
          <w:ilvl w:val="1"/>
          <w:numId w:val="35"/>
        </w:numPr>
        <w:spacing w:after="0" w:line="240" w:lineRule="auto"/>
        <w:ind w:left="723"/>
        <w:contextualSpacing/>
        <w:rPr>
          <w:u w:val="single"/>
        </w:rPr>
      </w:pPr>
      <w:r>
        <w:t>exploring options for innovation in full care accommodation and affordable housing for long term homeless older people</w:t>
      </w:r>
      <w:r w:rsidR="002C34EC">
        <w:t>,</w:t>
      </w:r>
      <w:r>
        <w:t xml:space="preserve"> such as the ‘Wintringham model’.</w:t>
      </w:r>
    </w:p>
    <w:p w14:paraId="325686D9" w14:textId="5162666D" w:rsidR="00AB0488" w:rsidRDefault="00AB0488" w:rsidP="00610E6C">
      <w:pPr>
        <w:pStyle w:val="TableofFigures"/>
      </w:pPr>
      <w:r>
        <w:t>That the Queensland Government consider the work of the Affordable Housing Working Group</w:t>
      </w:r>
      <w:r w:rsidR="002C34EC">
        <w:t>,</w:t>
      </w:r>
      <w:r>
        <w:t xml:space="preserve"> established by the Australian Government</w:t>
      </w:r>
      <w:r w:rsidR="002C34EC">
        <w:t>,</w:t>
      </w:r>
      <w:r>
        <w:t xml:space="preserve"> in identifying models </w:t>
      </w:r>
      <w:r w:rsidR="002C34EC">
        <w:t>to increase the</w:t>
      </w:r>
      <w:r>
        <w:t xml:space="preserve"> supply </w:t>
      </w:r>
      <w:r w:rsidR="002C34EC">
        <w:t>of</w:t>
      </w:r>
      <w:r>
        <w:t xml:space="preserve"> affordable housing for vulnerable or disadvantaged people</w:t>
      </w:r>
      <w:r w:rsidR="00B067D7">
        <w:t>.</w:t>
      </w:r>
    </w:p>
    <w:p w14:paraId="3C800494" w14:textId="4A3D5658" w:rsidR="00AB0488" w:rsidRPr="0005526D" w:rsidRDefault="00AB0488" w:rsidP="0005526D">
      <w:pPr>
        <w:pStyle w:val="Heading2"/>
        <w:numPr>
          <w:ilvl w:val="0"/>
          <w:numId w:val="0"/>
        </w:numPr>
        <w:rPr>
          <w:sz w:val="24"/>
          <w:szCs w:val="24"/>
        </w:rPr>
      </w:pPr>
      <w:bookmarkStart w:id="15" w:name="_Toc460257473"/>
      <w:r w:rsidRPr="0005526D">
        <w:rPr>
          <w:sz w:val="24"/>
          <w:szCs w:val="24"/>
        </w:rPr>
        <w:t>Suitable local community services</w:t>
      </w:r>
      <w:bookmarkEnd w:id="15"/>
    </w:p>
    <w:p w14:paraId="163C8220" w14:textId="3127B640" w:rsidR="00AB0488" w:rsidRPr="00A54C64" w:rsidRDefault="00AB0488" w:rsidP="00610E6C">
      <w:pPr>
        <w:pStyle w:val="TableofFigures"/>
        <w:rPr>
          <w:color w:val="auto"/>
        </w:rPr>
      </w:pPr>
      <w:r w:rsidRPr="004363AF">
        <w:t>That</w:t>
      </w:r>
      <w:r>
        <w:t xml:space="preserve"> the Queensland Government continue to support seniors’ engage with digital, computing and internet technologies through user-friendly literacy programs and the promotion of these through: </w:t>
      </w:r>
    </w:p>
    <w:p w14:paraId="2A58CFBB" w14:textId="0999BC82" w:rsidR="00AB0488" w:rsidRDefault="00AB0488" w:rsidP="004363AF">
      <w:pPr>
        <w:numPr>
          <w:ilvl w:val="1"/>
          <w:numId w:val="37"/>
        </w:numPr>
        <w:spacing w:after="0" w:line="240" w:lineRule="auto"/>
        <w:ind w:left="723"/>
        <w:contextualSpacing/>
      </w:pPr>
      <w:r>
        <w:t>expansion of the use of technology hubs in public spaces</w:t>
      </w:r>
    </w:p>
    <w:p w14:paraId="2C260510" w14:textId="77777777" w:rsidR="00AB0488" w:rsidRDefault="00AB0488" w:rsidP="004363AF">
      <w:pPr>
        <w:numPr>
          <w:ilvl w:val="1"/>
          <w:numId w:val="37"/>
        </w:numPr>
        <w:spacing w:after="0" w:line="240" w:lineRule="auto"/>
        <w:ind w:left="723"/>
        <w:contextualSpacing/>
      </w:pPr>
      <w:r>
        <w:t>training for seniors in the use of technology and the internet</w:t>
      </w:r>
    </w:p>
    <w:p w14:paraId="499CFF45" w14:textId="77777777" w:rsidR="00AB0488" w:rsidRDefault="00AB0488" w:rsidP="004363AF">
      <w:pPr>
        <w:numPr>
          <w:ilvl w:val="1"/>
          <w:numId w:val="37"/>
        </w:numPr>
        <w:spacing w:after="0" w:line="240" w:lineRule="auto"/>
        <w:ind w:left="723"/>
        <w:contextualSpacing/>
      </w:pPr>
      <w:r>
        <w:lastRenderedPageBreak/>
        <w:t>remote connections for Indigenous communities</w:t>
      </w:r>
    </w:p>
    <w:p w14:paraId="26F9C658" w14:textId="0883B035" w:rsidR="00AB0488" w:rsidRDefault="00AB0488" w:rsidP="004363AF">
      <w:pPr>
        <w:numPr>
          <w:ilvl w:val="1"/>
          <w:numId w:val="37"/>
        </w:numPr>
        <w:spacing w:line="240" w:lineRule="auto"/>
        <w:ind w:left="723"/>
        <w:contextualSpacing/>
      </w:pPr>
      <w:r>
        <w:t>age</w:t>
      </w:r>
      <w:r w:rsidR="00B067D7">
        <w:t>-</w:t>
      </w:r>
      <w:r>
        <w:t>friendly telehealth and interactive preventative health services.</w:t>
      </w:r>
    </w:p>
    <w:p w14:paraId="573AF45C" w14:textId="77777777" w:rsidR="00AB0488" w:rsidRDefault="00AB0488" w:rsidP="00610E6C">
      <w:pPr>
        <w:pStyle w:val="TableofFigures"/>
      </w:pPr>
      <w:r>
        <w:t>That the Queensland Government continue to provide information about housing and services in hard-copy format for older people who are not computer literate.</w:t>
      </w:r>
    </w:p>
    <w:p w14:paraId="0BBD57D3" w14:textId="3F0B9062" w:rsidR="00AB0488" w:rsidRDefault="00AB0488" w:rsidP="00610E6C">
      <w:pPr>
        <w:pStyle w:val="TableofFigures"/>
      </w:pPr>
      <w:r>
        <w:t>That the Queensland Government</w:t>
      </w:r>
      <w:r w:rsidR="00B067D7">
        <w:t>,</w:t>
      </w:r>
      <w:r>
        <w:t xml:space="preserve"> when designing programs in relation to housing for older people, convene innovation workshops with expert facilitators to co-create a range of community services that support community engagement and ageing in place.</w:t>
      </w:r>
    </w:p>
    <w:p w14:paraId="79DEEA6D" w14:textId="340542F2" w:rsidR="00AB0488" w:rsidRDefault="00AB0488" w:rsidP="00610E6C">
      <w:pPr>
        <w:pStyle w:val="TableofFigures"/>
      </w:pPr>
      <w:r>
        <w:t xml:space="preserve">That </w:t>
      </w:r>
      <w:r w:rsidR="00B067D7">
        <w:t xml:space="preserve">the Queensland </w:t>
      </w:r>
      <w:r>
        <w:t>Government explore the need and options for establishing services to support older people at risk of homelessness. Services should be co-designed with organisations with strong links to care, support and community services.</w:t>
      </w:r>
    </w:p>
    <w:p w14:paraId="77D46150" w14:textId="48E5FF40" w:rsidR="00AB0488" w:rsidRDefault="00AB0488" w:rsidP="00610E6C">
      <w:pPr>
        <w:pStyle w:val="TableofFigures"/>
      </w:pPr>
      <w:r>
        <w:t>That the Queensland Government develop the capability of housing and homelessness service providers to meet the needs of older people</w:t>
      </w:r>
      <w:r w:rsidR="005E5F3F">
        <w:t>,</w:t>
      </w:r>
      <w:r>
        <w:t xml:space="preserve"> including the integration of service responses with due regard to the choice and privacy of the older person.</w:t>
      </w:r>
    </w:p>
    <w:p w14:paraId="0E5A791F" w14:textId="77777777" w:rsidR="000D18B4" w:rsidRDefault="000D18B4" w:rsidP="000D18B4">
      <w:pPr>
        <w:rPr>
          <w:rFonts w:asciiTheme="majorHAnsi" w:eastAsiaTheme="majorEastAsia" w:hAnsiTheme="majorHAnsi" w:cstheme="majorBidi"/>
          <w:b/>
          <w:color w:val="365F91" w:themeColor="accent1" w:themeShade="BF"/>
          <w:sz w:val="32"/>
          <w:szCs w:val="32"/>
        </w:rPr>
      </w:pPr>
    </w:p>
    <w:p w14:paraId="3FE55CA6" w14:textId="77777777" w:rsidR="000D18B4" w:rsidRDefault="000D18B4" w:rsidP="000D18B4">
      <w:pPr>
        <w:rPr>
          <w:rFonts w:asciiTheme="majorHAnsi" w:eastAsiaTheme="majorEastAsia" w:hAnsiTheme="majorHAnsi" w:cstheme="majorBidi"/>
          <w:b/>
          <w:color w:val="365F91" w:themeColor="accent1" w:themeShade="BF"/>
          <w:sz w:val="32"/>
          <w:szCs w:val="32"/>
        </w:rPr>
      </w:pPr>
    </w:p>
    <w:p w14:paraId="5D202398" w14:textId="77777777" w:rsidR="000D18B4" w:rsidRDefault="000D18B4" w:rsidP="000D18B4">
      <w:pPr>
        <w:rPr>
          <w:rFonts w:asciiTheme="majorHAnsi" w:eastAsiaTheme="majorEastAsia" w:hAnsiTheme="majorHAnsi" w:cstheme="majorBidi"/>
          <w:b/>
          <w:color w:val="365F91" w:themeColor="accent1" w:themeShade="BF"/>
          <w:sz w:val="32"/>
          <w:szCs w:val="32"/>
        </w:rPr>
      </w:pPr>
      <w:r>
        <w:rPr>
          <w:rFonts w:asciiTheme="majorHAnsi" w:eastAsiaTheme="majorEastAsia" w:hAnsiTheme="majorHAnsi" w:cstheme="majorBidi"/>
          <w:b/>
          <w:color w:val="365F91" w:themeColor="accent1" w:themeShade="BF"/>
          <w:sz w:val="32"/>
          <w:szCs w:val="32"/>
        </w:rPr>
        <w:br w:type="page"/>
      </w:r>
    </w:p>
    <w:p w14:paraId="35026F83" w14:textId="15571C60" w:rsidR="000D18B4" w:rsidRDefault="000D18B4" w:rsidP="000D18B4">
      <w:pPr>
        <w:pStyle w:val="Heading1"/>
      </w:pPr>
      <w:bookmarkStart w:id="16" w:name="_Toc460257474"/>
      <w:r w:rsidRPr="00617952">
        <w:lastRenderedPageBreak/>
        <w:t>INTRODUCTION</w:t>
      </w:r>
      <w:bookmarkEnd w:id="16"/>
    </w:p>
    <w:p w14:paraId="397CC0A5" w14:textId="2F97F006" w:rsidR="000D18B4" w:rsidRDefault="000D18B4" w:rsidP="000D18B4">
      <w:pPr>
        <w:pStyle w:val="Heading2"/>
      </w:pPr>
      <w:bookmarkStart w:id="17" w:name="_Toc457246202"/>
      <w:bookmarkStart w:id="18" w:name="_Toc457288655"/>
      <w:bookmarkStart w:id="19" w:name="_Toc457290476"/>
      <w:bookmarkStart w:id="20" w:name="_Toc457398825"/>
      <w:bookmarkStart w:id="21" w:name="_Toc457458558"/>
      <w:bookmarkStart w:id="22" w:name="_Toc457467858"/>
      <w:bookmarkStart w:id="23" w:name="_Toc457482867"/>
      <w:bookmarkStart w:id="24" w:name="_Toc457483259"/>
      <w:bookmarkStart w:id="25" w:name="_Toc457506176"/>
      <w:bookmarkStart w:id="26" w:name="_Toc457512203"/>
      <w:bookmarkStart w:id="27" w:name="_Toc457246203"/>
      <w:bookmarkStart w:id="28" w:name="_Toc457288656"/>
      <w:bookmarkStart w:id="29" w:name="_Toc457290477"/>
      <w:bookmarkStart w:id="30" w:name="_Toc457398826"/>
      <w:bookmarkStart w:id="31" w:name="_Toc457458559"/>
      <w:bookmarkStart w:id="32" w:name="_Toc457467859"/>
      <w:bookmarkStart w:id="33" w:name="_Toc457482868"/>
      <w:bookmarkStart w:id="34" w:name="_Toc457483260"/>
      <w:bookmarkStart w:id="35" w:name="_Toc457506177"/>
      <w:bookmarkStart w:id="36" w:name="_Toc457512204"/>
      <w:bookmarkStart w:id="37" w:name="_Toc46025747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t xml:space="preserve">Why a </w:t>
      </w:r>
      <w:r w:rsidR="00743207">
        <w:t>t</w:t>
      </w:r>
      <w:r>
        <w:t>askforce?</w:t>
      </w:r>
      <w:bookmarkEnd w:id="37"/>
    </w:p>
    <w:p w14:paraId="01F73B6F" w14:textId="24CBCE2D" w:rsidR="000D18B4" w:rsidRDefault="000D18B4" w:rsidP="000D18B4">
      <w:r>
        <w:t>Housing is a basic need</w:t>
      </w:r>
      <w:r w:rsidR="00AB588E">
        <w:t xml:space="preserve"> for everyone</w:t>
      </w:r>
      <w:r>
        <w:t>, inextricably linked to health and wellbeing.</w:t>
      </w:r>
      <w:r>
        <w:rPr>
          <w:rFonts w:cs="Arial"/>
        </w:rPr>
        <w:t xml:space="preserve"> Stable housing is linked to workforce participation and social connectedness. </w:t>
      </w:r>
      <w:r w:rsidR="007B1A91">
        <w:rPr>
          <w:rFonts w:cs="Arial"/>
        </w:rPr>
        <w:t>For many older people, housing is also at the centre of their sense of security and independence. It</w:t>
      </w:r>
      <w:r>
        <w:rPr>
          <w:rFonts w:cs="Arial"/>
        </w:rPr>
        <w:t xml:space="preserve"> </w:t>
      </w:r>
      <w:r w:rsidR="007B1A91">
        <w:rPr>
          <w:rFonts w:cs="Arial"/>
        </w:rPr>
        <w:t xml:space="preserve">may </w:t>
      </w:r>
      <w:r>
        <w:rPr>
          <w:rFonts w:cs="Arial"/>
        </w:rPr>
        <w:t xml:space="preserve">also </w:t>
      </w:r>
      <w:r w:rsidR="007B1A91">
        <w:rPr>
          <w:rFonts w:cs="Arial"/>
        </w:rPr>
        <w:t xml:space="preserve">be </w:t>
      </w:r>
      <w:r>
        <w:rPr>
          <w:rFonts w:cs="Arial"/>
        </w:rPr>
        <w:t xml:space="preserve">a source of </w:t>
      </w:r>
      <w:r w:rsidR="00B81726">
        <w:rPr>
          <w:rFonts w:cs="Arial"/>
        </w:rPr>
        <w:t>funds</w:t>
      </w:r>
      <w:r>
        <w:rPr>
          <w:rFonts w:cs="Arial"/>
        </w:rPr>
        <w:t xml:space="preserve"> in retirement. From an economic perspective, housing is a significant part of the Queensland economy, providing employment, investment vehicle</w:t>
      </w:r>
      <w:r w:rsidR="00F930B9">
        <w:rPr>
          <w:rFonts w:cs="Arial"/>
        </w:rPr>
        <w:t>s</w:t>
      </w:r>
      <w:r>
        <w:rPr>
          <w:rFonts w:cs="Arial"/>
        </w:rPr>
        <w:t xml:space="preserve"> and business opportunities.</w:t>
      </w:r>
    </w:p>
    <w:p w14:paraId="04AFBB5D" w14:textId="1B3294F5" w:rsidR="000D18B4" w:rsidRDefault="000D18B4" w:rsidP="000D18B4">
      <w:pPr>
        <w:rPr>
          <w:rFonts w:cs="Arial"/>
        </w:rPr>
      </w:pPr>
      <w:r w:rsidRPr="00E902C2">
        <w:rPr>
          <w:rFonts w:cs="Arial"/>
        </w:rPr>
        <w:t xml:space="preserve">Queensland’s ageing population will </w:t>
      </w:r>
      <w:r w:rsidR="007B1A91">
        <w:rPr>
          <w:rFonts w:cs="Arial"/>
        </w:rPr>
        <w:t>present</w:t>
      </w:r>
      <w:r w:rsidR="007B1A91" w:rsidRPr="00E902C2">
        <w:rPr>
          <w:rFonts w:cs="Arial"/>
        </w:rPr>
        <w:t xml:space="preserve"> </w:t>
      </w:r>
      <w:r w:rsidRPr="00E902C2">
        <w:rPr>
          <w:rFonts w:cs="Arial"/>
        </w:rPr>
        <w:t xml:space="preserve">enormous challenges and opportunities </w:t>
      </w:r>
      <w:r>
        <w:rPr>
          <w:rFonts w:cs="Arial"/>
        </w:rPr>
        <w:t xml:space="preserve">in </w:t>
      </w:r>
      <w:r w:rsidRPr="00E902C2">
        <w:rPr>
          <w:rFonts w:cs="Arial"/>
        </w:rPr>
        <w:t xml:space="preserve">coming decades. </w:t>
      </w:r>
      <w:r>
        <w:rPr>
          <w:rFonts w:cs="Arial"/>
        </w:rPr>
        <w:t xml:space="preserve">It is already </w:t>
      </w:r>
      <w:r w:rsidRPr="00E902C2">
        <w:rPr>
          <w:rFonts w:cs="Arial"/>
        </w:rPr>
        <w:t>chang</w:t>
      </w:r>
      <w:r w:rsidR="007B1A91">
        <w:rPr>
          <w:rFonts w:cs="Arial"/>
        </w:rPr>
        <w:t>ing</w:t>
      </w:r>
      <w:r w:rsidRPr="00E902C2">
        <w:rPr>
          <w:rFonts w:cs="Arial"/>
        </w:rPr>
        <w:t xml:space="preserve"> the nature of our communities and </w:t>
      </w:r>
      <w:r>
        <w:rPr>
          <w:rFonts w:cs="Arial"/>
        </w:rPr>
        <w:t xml:space="preserve">will </w:t>
      </w:r>
      <w:r w:rsidR="007B1A91">
        <w:rPr>
          <w:rFonts w:cs="Arial"/>
        </w:rPr>
        <w:t xml:space="preserve">challenge us </w:t>
      </w:r>
      <w:r w:rsidRPr="00E902C2">
        <w:rPr>
          <w:rFonts w:cs="Arial"/>
        </w:rPr>
        <w:t xml:space="preserve">to find new ways of </w:t>
      </w:r>
      <w:r w:rsidR="007B1A91">
        <w:rPr>
          <w:rFonts w:cs="Arial"/>
        </w:rPr>
        <w:t xml:space="preserve">providing and </w:t>
      </w:r>
      <w:r w:rsidRPr="00E902C2">
        <w:rPr>
          <w:rFonts w:cs="Arial"/>
        </w:rPr>
        <w:t xml:space="preserve">consuming </w:t>
      </w:r>
      <w:r w:rsidR="007B1A91">
        <w:rPr>
          <w:rFonts w:cs="Arial"/>
        </w:rPr>
        <w:t>products and</w:t>
      </w:r>
      <w:r w:rsidRPr="00E902C2">
        <w:rPr>
          <w:rFonts w:cs="Arial"/>
        </w:rPr>
        <w:t xml:space="preserve"> services</w:t>
      </w:r>
      <w:r w:rsidR="007B1A91">
        <w:rPr>
          <w:rFonts w:cs="Arial"/>
        </w:rPr>
        <w:t xml:space="preserve"> in the future</w:t>
      </w:r>
      <w:r w:rsidR="00DD1AC9">
        <w:rPr>
          <w:rFonts w:cs="Arial"/>
        </w:rPr>
        <w:t>. A</w:t>
      </w:r>
      <w:r w:rsidR="00DD1AC9" w:rsidRPr="00E902C2">
        <w:rPr>
          <w:rFonts w:cs="Arial"/>
        </w:rPr>
        <w:t xml:space="preserve">s </w:t>
      </w:r>
      <w:r w:rsidR="00DD1AC9">
        <w:rPr>
          <w:rFonts w:cs="Arial"/>
        </w:rPr>
        <w:t>the population</w:t>
      </w:r>
      <w:r w:rsidR="00DD1AC9" w:rsidRPr="00E902C2">
        <w:rPr>
          <w:rFonts w:cs="Arial"/>
        </w:rPr>
        <w:t xml:space="preserve"> age</w:t>
      </w:r>
      <w:r w:rsidR="00DD1AC9">
        <w:rPr>
          <w:rFonts w:cs="Arial"/>
        </w:rPr>
        <w:t>s, c</w:t>
      </w:r>
      <w:r w:rsidRPr="00E902C2">
        <w:rPr>
          <w:rFonts w:cs="Arial"/>
        </w:rPr>
        <w:t>hanges in level</w:t>
      </w:r>
      <w:r w:rsidR="00DD1AC9">
        <w:rPr>
          <w:rFonts w:cs="Arial"/>
        </w:rPr>
        <w:t>s</w:t>
      </w:r>
      <w:r w:rsidRPr="00E902C2">
        <w:rPr>
          <w:rFonts w:cs="Arial"/>
        </w:rPr>
        <w:t xml:space="preserve"> of physical and economic independence will </w:t>
      </w:r>
      <w:r w:rsidR="00DD1AC9">
        <w:rPr>
          <w:rFonts w:cs="Arial"/>
        </w:rPr>
        <w:t xml:space="preserve">affect all areas of human service delivery. Among </w:t>
      </w:r>
      <w:r w:rsidR="00F930B9">
        <w:rPr>
          <w:rFonts w:cs="Arial"/>
        </w:rPr>
        <w:t>a</w:t>
      </w:r>
      <w:r w:rsidR="00DD1AC9">
        <w:rPr>
          <w:rFonts w:cs="Arial"/>
        </w:rPr>
        <w:t xml:space="preserve"> wide range of social and economic implications, it wil</w:t>
      </w:r>
      <w:r w:rsidRPr="00E902C2">
        <w:rPr>
          <w:rFonts w:cs="Arial"/>
        </w:rPr>
        <w:t xml:space="preserve">l transform the way that </w:t>
      </w:r>
      <w:r w:rsidR="00DD1AC9">
        <w:rPr>
          <w:rFonts w:cs="Arial"/>
        </w:rPr>
        <w:t>Queenslanders</w:t>
      </w:r>
      <w:r w:rsidR="00DD1AC9" w:rsidRPr="00E902C2">
        <w:rPr>
          <w:rFonts w:cs="Arial"/>
        </w:rPr>
        <w:t xml:space="preserve"> </w:t>
      </w:r>
      <w:r w:rsidRPr="00E902C2">
        <w:rPr>
          <w:rFonts w:cs="Arial"/>
        </w:rPr>
        <w:t>are housed and change the way that related care and support is delivered.</w:t>
      </w:r>
    </w:p>
    <w:p w14:paraId="64B38E71" w14:textId="3E78E4D8" w:rsidR="000D18B4" w:rsidRDefault="00F930B9" w:rsidP="000D18B4">
      <w:pPr>
        <w:rPr>
          <w:rFonts w:cs="Arial"/>
          <w:lang w:val="en-US"/>
        </w:rPr>
      </w:pPr>
      <w:r>
        <w:t>In 2015, t</w:t>
      </w:r>
      <w:r w:rsidR="000D18B4">
        <w:t>he Queensland Government appointed the</w:t>
      </w:r>
      <w:r w:rsidR="006768C9">
        <w:t xml:space="preserve"> independent</w:t>
      </w:r>
      <w:r w:rsidR="000D18B4">
        <w:t xml:space="preserve"> </w:t>
      </w:r>
      <w:r w:rsidR="000D18B4" w:rsidRPr="004C1AE3">
        <w:rPr>
          <w:i/>
        </w:rPr>
        <w:t>Advisory Taskforce on Residential Transition for Ageing Queenslanders</w:t>
      </w:r>
      <w:r w:rsidR="000D18B4">
        <w:t xml:space="preserve"> (the Taskforce) to explore </w:t>
      </w:r>
      <w:r>
        <w:t xml:space="preserve">emerging issues with meeting the housing and related needs of older people. The Taskforce was asked to </w:t>
      </w:r>
      <w:r w:rsidR="000D18B4">
        <w:t>advi</w:t>
      </w:r>
      <w:r>
        <w:t>s</w:t>
      </w:r>
      <w:r w:rsidR="000D18B4">
        <w:t xml:space="preserve">e government </w:t>
      </w:r>
      <w:r w:rsidRPr="00F930B9">
        <w:t xml:space="preserve">on affordable and simpler housing models and other initiatives to support Queenslanders </w:t>
      </w:r>
      <w:r w:rsidR="00BC66AD">
        <w:t xml:space="preserve">to </w:t>
      </w:r>
      <w:r w:rsidRPr="00F930B9">
        <w:rPr>
          <w:lang w:val="en-US"/>
        </w:rPr>
        <w:t>retain their independence as they age</w:t>
      </w:r>
      <w:r w:rsidR="000D18B4">
        <w:t>. T</w:t>
      </w:r>
      <w:r>
        <w:t>he Taskforce’s work</w:t>
      </w:r>
      <w:r w:rsidR="000D18B4">
        <w:t xml:space="preserve"> </w:t>
      </w:r>
      <w:r>
        <w:t xml:space="preserve">will </w:t>
      </w:r>
      <w:r w:rsidR="000D18B4">
        <w:t>contribute</w:t>
      </w:r>
      <w:r>
        <w:t xml:space="preserve"> </w:t>
      </w:r>
      <w:r w:rsidR="000D18B4">
        <w:t xml:space="preserve">to the Queensland Government’s overarching vision </w:t>
      </w:r>
      <w:r>
        <w:t xml:space="preserve">of, </w:t>
      </w:r>
      <w:r w:rsidR="000D18B4">
        <w:t xml:space="preserve">and commitment </w:t>
      </w:r>
      <w:r>
        <w:t xml:space="preserve">to, </w:t>
      </w:r>
      <w:r w:rsidR="000D18B4">
        <w:t xml:space="preserve">an age-friendly Queensland.  </w:t>
      </w:r>
      <w:r w:rsidR="000D18B4">
        <w:rPr>
          <w:rFonts w:cs="Arial"/>
          <w:lang w:val="en-US"/>
        </w:rPr>
        <w:t xml:space="preserve">  </w:t>
      </w:r>
    </w:p>
    <w:p w14:paraId="576C639A" w14:textId="4E17305C" w:rsidR="000D18B4" w:rsidRPr="004C1AE3" w:rsidRDefault="000D18B4" w:rsidP="000D18B4">
      <w:pPr>
        <w:pStyle w:val="Heading2"/>
      </w:pPr>
      <w:bookmarkStart w:id="38" w:name="_Toc457242089"/>
      <w:bookmarkStart w:id="39" w:name="_Toc457242471"/>
      <w:bookmarkStart w:id="40" w:name="_Toc457242854"/>
      <w:bookmarkStart w:id="41" w:name="_Toc457243237"/>
      <w:bookmarkStart w:id="42" w:name="_Toc457243613"/>
      <w:bookmarkStart w:id="43" w:name="_Toc457243995"/>
      <w:bookmarkStart w:id="44" w:name="_Toc457244373"/>
      <w:bookmarkStart w:id="45" w:name="_Toc457244753"/>
      <w:bookmarkStart w:id="46" w:name="_Toc457245126"/>
      <w:bookmarkStart w:id="47" w:name="_Toc457245497"/>
      <w:bookmarkStart w:id="48" w:name="_Toc457245866"/>
      <w:bookmarkStart w:id="49" w:name="_Toc457246205"/>
      <w:bookmarkStart w:id="50" w:name="_Toc457288658"/>
      <w:bookmarkStart w:id="51" w:name="_Toc457290479"/>
      <w:bookmarkStart w:id="52" w:name="_Toc457398828"/>
      <w:bookmarkStart w:id="53" w:name="_Toc457458561"/>
      <w:bookmarkStart w:id="54" w:name="_Toc457467861"/>
      <w:bookmarkStart w:id="55" w:name="_Toc457482870"/>
      <w:bookmarkStart w:id="56" w:name="_Toc457483262"/>
      <w:bookmarkStart w:id="57" w:name="_Toc457506179"/>
      <w:bookmarkStart w:id="58" w:name="_Toc457512206"/>
      <w:bookmarkStart w:id="59" w:name="_Toc457242090"/>
      <w:bookmarkStart w:id="60" w:name="_Toc457242472"/>
      <w:bookmarkStart w:id="61" w:name="_Toc457242855"/>
      <w:bookmarkStart w:id="62" w:name="_Toc457243238"/>
      <w:bookmarkStart w:id="63" w:name="_Toc457243614"/>
      <w:bookmarkStart w:id="64" w:name="_Toc457243996"/>
      <w:bookmarkStart w:id="65" w:name="_Toc457244374"/>
      <w:bookmarkStart w:id="66" w:name="_Toc457244754"/>
      <w:bookmarkStart w:id="67" w:name="_Toc457245127"/>
      <w:bookmarkStart w:id="68" w:name="_Toc457245498"/>
      <w:bookmarkStart w:id="69" w:name="_Toc457245867"/>
      <w:bookmarkStart w:id="70" w:name="_Toc457246206"/>
      <w:bookmarkStart w:id="71" w:name="_Toc457288659"/>
      <w:bookmarkStart w:id="72" w:name="_Toc457290480"/>
      <w:bookmarkStart w:id="73" w:name="_Toc457398829"/>
      <w:bookmarkStart w:id="74" w:name="_Toc457458562"/>
      <w:bookmarkStart w:id="75" w:name="_Toc457467862"/>
      <w:bookmarkStart w:id="76" w:name="_Toc457482871"/>
      <w:bookmarkStart w:id="77" w:name="_Toc457483263"/>
      <w:bookmarkStart w:id="78" w:name="_Toc457506180"/>
      <w:bookmarkStart w:id="79" w:name="_Toc457512207"/>
      <w:bookmarkStart w:id="80" w:name="_Toc457242092"/>
      <w:bookmarkStart w:id="81" w:name="_Toc457242474"/>
      <w:bookmarkStart w:id="82" w:name="_Toc457242857"/>
      <w:bookmarkStart w:id="83" w:name="_Toc457243240"/>
      <w:bookmarkStart w:id="84" w:name="_Toc457243616"/>
      <w:bookmarkStart w:id="85" w:name="_Toc457243998"/>
      <w:bookmarkStart w:id="86" w:name="_Toc457244376"/>
      <w:bookmarkStart w:id="87" w:name="_Toc457244756"/>
      <w:bookmarkStart w:id="88" w:name="_Toc457245129"/>
      <w:bookmarkStart w:id="89" w:name="_Toc457245500"/>
      <w:bookmarkStart w:id="90" w:name="_Toc457245869"/>
      <w:bookmarkStart w:id="91" w:name="_Toc457246208"/>
      <w:bookmarkStart w:id="92" w:name="_Toc457288661"/>
      <w:bookmarkStart w:id="93" w:name="_Toc457290482"/>
      <w:bookmarkStart w:id="94" w:name="_Toc457398831"/>
      <w:bookmarkStart w:id="95" w:name="_Toc457458564"/>
      <w:bookmarkStart w:id="96" w:name="_Toc457467864"/>
      <w:bookmarkStart w:id="97" w:name="_Toc457482873"/>
      <w:bookmarkStart w:id="98" w:name="_Toc457483265"/>
      <w:bookmarkStart w:id="99" w:name="_Toc457506182"/>
      <w:bookmarkStart w:id="100" w:name="_Toc457512209"/>
      <w:bookmarkStart w:id="101" w:name="_Toc457242093"/>
      <w:bookmarkStart w:id="102" w:name="_Toc457242475"/>
      <w:bookmarkStart w:id="103" w:name="_Toc457242858"/>
      <w:bookmarkStart w:id="104" w:name="_Toc457243241"/>
      <w:bookmarkStart w:id="105" w:name="_Toc457243617"/>
      <w:bookmarkStart w:id="106" w:name="_Toc457243999"/>
      <w:bookmarkStart w:id="107" w:name="_Toc457244377"/>
      <w:bookmarkStart w:id="108" w:name="_Toc457244757"/>
      <w:bookmarkStart w:id="109" w:name="_Toc457245130"/>
      <w:bookmarkStart w:id="110" w:name="_Toc457245501"/>
      <w:bookmarkStart w:id="111" w:name="_Toc457245870"/>
      <w:bookmarkStart w:id="112" w:name="_Toc457246209"/>
      <w:bookmarkStart w:id="113" w:name="_Toc457288662"/>
      <w:bookmarkStart w:id="114" w:name="_Toc457290483"/>
      <w:bookmarkStart w:id="115" w:name="_Toc457398832"/>
      <w:bookmarkStart w:id="116" w:name="_Toc457458565"/>
      <w:bookmarkStart w:id="117" w:name="_Toc457467865"/>
      <w:bookmarkStart w:id="118" w:name="_Toc457482874"/>
      <w:bookmarkStart w:id="119" w:name="_Toc457483266"/>
      <w:bookmarkStart w:id="120" w:name="_Toc457506183"/>
      <w:bookmarkStart w:id="121" w:name="_Toc457512210"/>
      <w:bookmarkStart w:id="122" w:name="_Toc457242094"/>
      <w:bookmarkStart w:id="123" w:name="_Toc457242476"/>
      <w:bookmarkStart w:id="124" w:name="_Toc457242859"/>
      <w:bookmarkStart w:id="125" w:name="_Toc457243242"/>
      <w:bookmarkStart w:id="126" w:name="_Toc457243618"/>
      <w:bookmarkStart w:id="127" w:name="_Toc457244000"/>
      <w:bookmarkStart w:id="128" w:name="_Toc457244378"/>
      <w:bookmarkStart w:id="129" w:name="_Toc457244758"/>
      <w:bookmarkStart w:id="130" w:name="_Toc457245131"/>
      <w:bookmarkStart w:id="131" w:name="_Toc457245502"/>
      <w:bookmarkStart w:id="132" w:name="_Toc457245871"/>
      <w:bookmarkStart w:id="133" w:name="_Toc457246210"/>
      <w:bookmarkStart w:id="134" w:name="_Toc457288663"/>
      <w:bookmarkStart w:id="135" w:name="_Toc457290484"/>
      <w:bookmarkStart w:id="136" w:name="_Toc457398833"/>
      <w:bookmarkStart w:id="137" w:name="_Toc457458566"/>
      <w:bookmarkStart w:id="138" w:name="_Toc457467866"/>
      <w:bookmarkStart w:id="139" w:name="_Toc457482875"/>
      <w:bookmarkStart w:id="140" w:name="_Toc457483267"/>
      <w:bookmarkStart w:id="141" w:name="_Toc457506184"/>
      <w:bookmarkStart w:id="142" w:name="_Toc457512211"/>
      <w:bookmarkStart w:id="143" w:name="_Toc457242095"/>
      <w:bookmarkStart w:id="144" w:name="_Toc457242477"/>
      <w:bookmarkStart w:id="145" w:name="_Toc457242860"/>
      <w:bookmarkStart w:id="146" w:name="_Toc457243243"/>
      <w:bookmarkStart w:id="147" w:name="_Toc457243619"/>
      <w:bookmarkStart w:id="148" w:name="_Toc457244001"/>
      <w:bookmarkStart w:id="149" w:name="_Toc457244379"/>
      <w:bookmarkStart w:id="150" w:name="_Toc457244759"/>
      <w:bookmarkStart w:id="151" w:name="_Toc457245132"/>
      <w:bookmarkStart w:id="152" w:name="_Toc457245503"/>
      <w:bookmarkStart w:id="153" w:name="_Toc457245872"/>
      <w:bookmarkStart w:id="154" w:name="_Toc457246211"/>
      <w:bookmarkStart w:id="155" w:name="_Toc457288664"/>
      <w:bookmarkStart w:id="156" w:name="_Toc457290485"/>
      <w:bookmarkStart w:id="157" w:name="_Toc457398834"/>
      <w:bookmarkStart w:id="158" w:name="_Toc457458567"/>
      <w:bookmarkStart w:id="159" w:name="_Toc457467867"/>
      <w:bookmarkStart w:id="160" w:name="_Toc457482876"/>
      <w:bookmarkStart w:id="161" w:name="_Toc457483268"/>
      <w:bookmarkStart w:id="162" w:name="_Toc457506185"/>
      <w:bookmarkStart w:id="163" w:name="_Toc457512212"/>
      <w:bookmarkStart w:id="164" w:name="_Toc457242096"/>
      <w:bookmarkStart w:id="165" w:name="_Toc457242478"/>
      <w:bookmarkStart w:id="166" w:name="_Toc457242861"/>
      <w:bookmarkStart w:id="167" w:name="_Toc457243244"/>
      <w:bookmarkStart w:id="168" w:name="_Toc457243620"/>
      <w:bookmarkStart w:id="169" w:name="_Toc457244002"/>
      <w:bookmarkStart w:id="170" w:name="_Toc457244380"/>
      <w:bookmarkStart w:id="171" w:name="_Toc457244760"/>
      <w:bookmarkStart w:id="172" w:name="_Toc457245133"/>
      <w:bookmarkStart w:id="173" w:name="_Toc457245504"/>
      <w:bookmarkStart w:id="174" w:name="_Toc457245873"/>
      <w:bookmarkStart w:id="175" w:name="_Toc457246212"/>
      <w:bookmarkStart w:id="176" w:name="_Toc457288665"/>
      <w:bookmarkStart w:id="177" w:name="_Toc457290486"/>
      <w:bookmarkStart w:id="178" w:name="_Toc457398835"/>
      <w:bookmarkStart w:id="179" w:name="_Toc457458568"/>
      <w:bookmarkStart w:id="180" w:name="_Toc457467868"/>
      <w:bookmarkStart w:id="181" w:name="_Toc457482877"/>
      <w:bookmarkStart w:id="182" w:name="_Toc457483269"/>
      <w:bookmarkStart w:id="183" w:name="_Toc457506186"/>
      <w:bookmarkStart w:id="184" w:name="_Toc457512213"/>
      <w:bookmarkStart w:id="185" w:name="_Toc46025747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4C1AE3">
        <w:t xml:space="preserve">Taskforce </w:t>
      </w:r>
      <w:r w:rsidR="00743207">
        <w:t>m</w:t>
      </w:r>
      <w:r w:rsidRPr="004C1AE3">
        <w:t>embership</w:t>
      </w:r>
      <w:bookmarkEnd w:id="185"/>
    </w:p>
    <w:p w14:paraId="7435DE56" w14:textId="6AA70BD7" w:rsidR="000D18B4" w:rsidRDefault="000D18B4" w:rsidP="000D18B4">
      <w:r>
        <w:t xml:space="preserve">The Taskforce members, led by Chairperson, Professor Laurie Buys were: </w:t>
      </w:r>
    </w:p>
    <w:p w14:paraId="519F8FD0" w14:textId="77777777" w:rsidR="000D18B4" w:rsidRDefault="000D18B4" w:rsidP="000D18B4">
      <w:pPr>
        <w:pStyle w:val="ListParagraph"/>
        <w:numPr>
          <w:ilvl w:val="0"/>
          <w:numId w:val="6"/>
        </w:numPr>
        <w:spacing w:before="60" w:after="0" w:line="240" w:lineRule="auto"/>
        <w:contextualSpacing w:val="0"/>
        <w:rPr>
          <w:szCs w:val="24"/>
        </w:rPr>
      </w:pPr>
      <w:r>
        <w:rPr>
          <w:szCs w:val="24"/>
        </w:rPr>
        <w:t>Ms Penny Carr, Tenants Queensland</w:t>
      </w:r>
    </w:p>
    <w:p w14:paraId="715D0117" w14:textId="77777777" w:rsidR="000D18B4" w:rsidRDefault="000D18B4" w:rsidP="000D18B4">
      <w:pPr>
        <w:pStyle w:val="ListParagraph"/>
        <w:numPr>
          <w:ilvl w:val="0"/>
          <w:numId w:val="6"/>
        </w:numPr>
        <w:spacing w:before="60" w:after="0" w:line="240" w:lineRule="auto"/>
        <w:contextualSpacing w:val="0"/>
        <w:rPr>
          <w:szCs w:val="24"/>
        </w:rPr>
      </w:pPr>
      <w:r>
        <w:rPr>
          <w:szCs w:val="24"/>
        </w:rPr>
        <w:t>Professor Luke Connelly, University of Queensland</w:t>
      </w:r>
    </w:p>
    <w:p w14:paraId="17FFCA17" w14:textId="77777777" w:rsidR="000D18B4" w:rsidRDefault="000D18B4" w:rsidP="000D18B4">
      <w:pPr>
        <w:pStyle w:val="ListParagraph"/>
        <w:numPr>
          <w:ilvl w:val="0"/>
          <w:numId w:val="6"/>
        </w:numPr>
        <w:spacing w:before="60" w:after="0" w:line="240" w:lineRule="auto"/>
        <w:contextualSpacing w:val="0"/>
        <w:rPr>
          <w:szCs w:val="24"/>
        </w:rPr>
      </w:pPr>
      <w:r>
        <w:rPr>
          <w:szCs w:val="24"/>
        </w:rPr>
        <w:t>Mr Brett Johnson, Local Government Association of Queensland</w:t>
      </w:r>
    </w:p>
    <w:p w14:paraId="4AF89C36" w14:textId="77777777" w:rsidR="000D18B4" w:rsidRDefault="000D18B4" w:rsidP="000D18B4">
      <w:pPr>
        <w:pStyle w:val="ListParagraph"/>
        <w:numPr>
          <w:ilvl w:val="0"/>
          <w:numId w:val="6"/>
        </w:numPr>
        <w:spacing w:before="60" w:after="0" w:line="240" w:lineRule="auto"/>
        <w:contextualSpacing w:val="0"/>
        <w:rPr>
          <w:szCs w:val="24"/>
        </w:rPr>
      </w:pPr>
      <w:r>
        <w:rPr>
          <w:szCs w:val="24"/>
        </w:rPr>
        <w:t>Ms Wendy Lovelace, Queensland Action for Universal Housing Design</w:t>
      </w:r>
    </w:p>
    <w:p w14:paraId="3E8DA4E0" w14:textId="77777777" w:rsidR="000D18B4" w:rsidRDefault="000D18B4" w:rsidP="000D18B4">
      <w:pPr>
        <w:pStyle w:val="ListParagraph"/>
        <w:numPr>
          <w:ilvl w:val="0"/>
          <w:numId w:val="6"/>
        </w:numPr>
        <w:spacing w:before="60" w:after="0" w:line="240" w:lineRule="auto"/>
        <w:ind w:left="714" w:hanging="357"/>
        <w:contextualSpacing w:val="0"/>
        <w:rPr>
          <w:szCs w:val="24"/>
        </w:rPr>
      </w:pPr>
      <w:r w:rsidRPr="00963E3B">
        <w:rPr>
          <w:szCs w:val="24"/>
        </w:rPr>
        <w:t>M</w:t>
      </w:r>
      <w:r>
        <w:rPr>
          <w:szCs w:val="24"/>
        </w:rPr>
        <w:t xml:space="preserve">r John Nesbitt, </w:t>
      </w:r>
      <w:r w:rsidRPr="00963E3B">
        <w:rPr>
          <w:szCs w:val="24"/>
        </w:rPr>
        <w:t>Suncorp</w:t>
      </w:r>
      <w:r>
        <w:rPr>
          <w:szCs w:val="24"/>
        </w:rPr>
        <w:t xml:space="preserve"> Group</w:t>
      </w:r>
      <w:r w:rsidRPr="00963E3B">
        <w:rPr>
          <w:szCs w:val="24"/>
        </w:rPr>
        <w:t xml:space="preserve"> </w:t>
      </w:r>
      <w:r>
        <w:rPr>
          <w:szCs w:val="24"/>
        </w:rPr>
        <w:t>(represented by Todd Skerman, Michelle Bagnall, Dominique Layt and Adrian Buckley)</w:t>
      </w:r>
    </w:p>
    <w:p w14:paraId="5AFAF65F" w14:textId="77777777" w:rsidR="000D18B4" w:rsidRPr="00201822" w:rsidRDefault="000D18B4" w:rsidP="000D18B4">
      <w:pPr>
        <w:numPr>
          <w:ilvl w:val="0"/>
          <w:numId w:val="6"/>
        </w:numPr>
        <w:spacing w:before="60" w:after="0" w:line="240" w:lineRule="auto"/>
        <w:ind w:left="714" w:hanging="357"/>
        <w:jc w:val="both"/>
        <w:rPr>
          <w:szCs w:val="24"/>
        </w:rPr>
      </w:pPr>
      <w:r>
        <w:rPr>
          <w:szCs w:val="24"/>
        </w:rPr>
        <w:t xml:space="preserve">Mr </w:t>
      </w:r>
      <w:r w:rsidRPr="00201822">
        <w:rPr>
          <w:szCs w:val="24"/>
        </w:rPr>
        <w:t>Chris Mountford, Property Council of Australia</w:t>
      </w:r>
    </w:p>
    <w:p w14:paraId="68CA81E9" w14:textId="77777777" w:rsidR="000D18B4" w:rsidRPr="00201822" w:rsidRDefault="000D18B4" w:rsidP="000D18B4">
      <w:pPr>
        <w:numPr>
          <w:ilvl w:val="0"/>
          <w:numId w:val="6"/>
        </w:numPr>
        <w:spacing w:before="60" w:after="0" w:line="240" w:lineRule="auto"/>
        <w:ind w:left="714" w:hanging="357"/>
        <w:jc w:val="both"/>
        <w:rPr>
          <w:szCs w:val="24"/>
        </w:rPr>
      </w:pPr>
      <w:r w:rsidRPr="00201822">
        <w:rPr>
          <w:szCs w:val="24"/>
        </w:rPr>
        <w:t xml:space="preserve">Ms </w:t>
      </w:r>
      <w:r>
        <w:rPr>
          <w:szCs w:val="24"/>
        </w:rPr>
        <w:t>Valmae Rose</w:t>
      </w:r>
      <w:r w:rsidRPr="00201822">
        <w:rPr>
          <w:szCs w:val="24"/>
        </w:rPr>
        <w:t>, Queensland Council of Social Service</w:t>
      </w:r>
    </w:p>
    <w:p w14:paraId="3BE6BAF6" w14:textId="77777777" w:rsidR="000D18B4" w:rsidRPr="00201822" w:rsidRDefault="000D18B4" w:rsidP="000D18B4">
      <w:pPr>
        <w:numPr>
          <w:ilvl w:val="0"/>
          <w:numId w:val="6"/>
        </w:numPr>
        <w:spacing w:before="60" w:after="0" w:line="240" w:lineRule="auto"/>
        <w:ind w:left="714" w:hanging="357"/>
        <w:jc w:val="both"/>
        <w:rPr>
          <w:szCs w:val="24"/>
        </w:rPr>
      </w:pPr>
      <w:r w:rsidRPr="00201822">
        <w:rPr>
          <w:szCs w:val="24"/>
        </w:rPr>
        <w:t xml:space="preserve">Mr </w:t>
      </w:r>
      <w:r>
        <w:rPr>
          <w:szCs w:val="24"/>
        </w:rPr>
        <w:t xml:space="preserve">John Stalker, </w:t>
      </w:r>
      <w:r w:rsidRPr="00201822">
        <w:rPr>
          <w:szCs w:val="24"/>
        </w:rPr>
        <w:t>Council on the Ageing</w:t>
      </w:r>
      <w:r>
        <w:rPr>
          <w:szCs w:val="24"/>
        </w:rPr>
        <w:t xml:space="preserve"> </w:t>
      </w:r>
    </w:p>
    <w:p w14:paraId="1D9F37C0" w14:textId="559F9BC2" w:rsidR="000D18B4" w:rsidRPr="00963E3B" w:rsidRDefault="000D18B4" w:rsidP="000D18B4">
      <w:pPr>
        <w:pStyle w:val="ListParagraph"/>
        <w:numPr>
          <w:ilvl w:val="0"/>
          <w:numId w:val="6"/>
        </w:numPr>
        <w:spacing w:before="60" w:after="0" w:line="240" w:lineRule="auto"/>
        <w:contextualSpacing w:val="0"/>
        <w:rPr>
          <w:szCs w:val="24"/>
        </w:rPr>
      </w:pPr>
      <w:r w:rsidRPr="00963E3B">
        <w:rPr>
          <w:szCs w:val="24"/>
        </w:rPr>
        <w:t>Ms Carina Wilson, Department of Health, Australian Government</w:t>
      </w:r>
      <w:r w:rsidR="00272A05">
        <w:rPr>
          <w:szCs w:val="24"/>
        </w:rPr>
        <w:t>.</w:t>
      </w:r>
    </w:p>
    <w:p w14:paraId="002A8610" w14:textId="77777777" w:rsidR="000D18B4" w:rsidRDefault="000D18B4" w:rsidP="000D18B4">
      <w:pPr>
        <w:spacing w:before="160" w:after="0" w:line="240" w:lineRule="auto"/>
        <w:rPr>
          <w:szCs w:val="24"/>
        </w:rPr>
      </w:pPr>
      <w:r>
        <w:rPr>
          <w:szCs w:val="24"/>
        </w:rPr>
        <w:t>The ex-officio members were:</w:t>
      </w:r>
    </w:p>
    <w:p w14:paraId="7A65C7F6" w14:textId="77777777" w:rsidR="000D18B4" w:rsidRPr="00B52A8A" w:rsidRDefault="000D18B4" w:rsidP="000D18B4">
      <w:pPr>
        <w:pStyle w:val="ListParagraph"/>
        <w:numPr>
          <w:ilvl w:val="0"/>
          <w:numId w:val="6"/>
        </w:numPr>
        <w:spacing w:before="60" w:after="0" w:line="240" w:lineRule="auto"/>
        <w:contextualSpacing w:val="0"/>
        <w:rPr>
          <w:szCs w:val="24"/>
        </w:rPr>
      </w:pPr>
      <w:r w:rsidRPr="00B52A8A">
        <w:rPr>
          <w:szCs w:val="24"/>
        </w:rPr>
        <w:t xml:space="preserve">Ms Christine Castley, Department of Housing and Public Works </w:t>
      </w:r>
    </w:p>
    <w:p w14:paraId="2DB51265" w14:textId="3F7411DD" w:rsidR="000D18B4" w:rsidRPr="00E61C57" w:rsidRDefault="000D18B4" w:rsidP="000D18B4">
      <w:pPr>
        <w:pStyle w:val="ListParagraph"/>
        <w:numPr>
          <w:ilvl w:val="0"/>
          <w:numId w:val="6"/>
        </w:numPr>
        <w:spacing w:before="60" w:after="0" w:line="240" w:lineRule="auto"/>
        <w:contextualSpacing w:val="0"/>
        <w:rPr>
          <w:i/>
          <w:szCs w:val="24"/>
        </w:rPr>
      </w:pPr>
      <w:r w:rsidRPr="00B52A8A">
        <w:rPr>
          <w:szCs w:val="24"/>
        </w:rPr>
        <w:t>Ms Leigh Roach</w:t>
      </w:r>
      <w:r w:rsidRPr="00E61C57">
        <w:rPr>
          <w:i/>
          <w:szCs w:val="24"/>
        </w:rPr>
        <w:t xml:space="preserve">, </w:t>
      </w:r>
      <w:r w:rsidRPr="00350770">
        <w:rPr>
          <w:szCs w:val="24"/>
        </w:rPr>
        <w:t>Department of Communities, Child Safety and Disability Services</w:t>
      </w:r>
      <w:r w:rsidR="00272A05">
        <w:rPr>
          <w:szCs w:val="24"/>
        </w:rPr>
        <w:t>.</w:t>
      </w:r>
      <w:r w:rsidRPr="00E61C57">
        <w:rPr>
          <w:i/>
          <w:szCs w:val="24"/>
        </w:rPr>
        <w:t xml:space="preserve"> </w:t>
      </w:r>
    </w:p>
    <w:p w14:paraId="43D9BFD9" w14:textId="77777777" w:rsidR="00953C30" w:rsidRDefault="00953C30" w:rsidP="000D18B4">
      <w:pPr>
        <w:spacing w:before="60" w:after="0" w:line="240" w:lineRule="auto"/>
        <w:rPr>
          <w:szCs w:val="24"/>
        </w:rPr>
      </w:pPr>
    </w:p>
    <w:p w14:paraId="17B388EA" w14:textId="0152DFB9" w:rsidR="000D18B4" w:rsidRDefault="000D18B4" w:rsidP="0005526D">
      <w:r>
        <w:rPr>
          <w:szCs w:val="24"/>
        </w:rPr>
        <w:t xml:space="preserve">An </w:t>
      </w:r>
      <w:r w:rsidRPr="00001964">
        <w:t>Expert</w:t>
      </w:r>
      <w:r>
        <w:rPr>
          <w:szCs w:val="24"/>
        </w:rPr>
        <w:t xml:space="preserve"> Reference Group supported the Taskforce with expert</w:t>
      </w:r>
      <w:r w:rsidR="00E27003">
        <w:rPr>
          <w:szCs w:val="24"/>
        </w:rPr>
        <w:t xml:space="preserve"> advice and opinion</w:t>
      </w:r>
      <w:r>
        <w:rPr>
          <w:szCs w:val="24"/>
        </w:rPr>
        <w:t>.</w:t>
      </w:r>
      <w:r w:rsidRPr="00433488">
        <w:rPr>
          <w:rStyle w:val="FootnoteReference"/>
          <w:szCs w:val="24"/>
        </w:rPr>
        <w:t xml:space="preserve"> </w:t>
      </w:r>
      <w:r w:rsidR="00E27003">
        <w:t>It</w:t>
      </w:r>
      <w:r w:rsidRPr="00554D98">
        <w:t xml:space="preserve"> comprised representatives from: </w:t>
      </w:r>
    </w:p>
    <w:p w14:paraId="325C9DCE"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Association of Residents of Queensland Retirement Villages</w:t>
      </w:r>
    </w:p>
    <w:p w14:paraId="261EBE15"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Caxton Legal Service</w:t>
      </w:r>
    </w:p>
    <w:p w14:paraId="046EE1BB"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Churches of Christ Care</w:t>
      </w:r>
    </w:p>
    <w:p w14:paraId="2CD67BF5"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Department of Infrastructure, Local Government and Planning</w:t>
      </w:r>
    </w:p>
    <w:p w14:paraId="3B5E223F"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Leading Age Services Australia – Queensland</w:t>
      </w:r>
    </w:p>
    <w:p w14:paraId="2554A63A"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Manufactured Homes Owners Alliance</w:t>
      </w:r>
    </w:p>
    <w:p w14:paraId="3B79C2A8"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lastRenderedPageBreak/>
        <w:t>National Seniors</w:t>
      </w:r>
    </w:p>
    <w:p w14:paraId="492D7ABA"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Queensland Aged and Disability Advocacy Inc.</w:t>
      </w:r>
    </w:p>
    <w:p w14:paraId="70CA0749"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Queensland Health</w:t>
      </w:r>
    </w:p>
    <w:p w14:paraId="118673EF"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Stockland</w:t>
      </w:r>
    </w:p>
    <w:p w14:paraId="6E1A4767" w14:textId="77777777"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Sundale</w:t>
      </w:r>
    </w:p>
    <w:p w14:paraId="01322160" w14:textId="768C9B6D" w:rsidR="000D18B4" w:rsidRPr="0005526D" w:rsidRDefault="000D18B4" w:rsidP="0005526D">
      <w:pPr>
        <w:pStyle w:val="ListParagraph"/>
        <w:numPr>
          <w:ilvl w:val="0"/>
          <w:numId w:val="9"/>
        </w:numPr>
        <w:autoSpaceDE w:val="0"/>
        <w:autoSpaceDN w:val="0"/>
        <w:spacing w:after="200" w:line="276" w:lineRule="auto"/>
        <w:ind w:left="647" w:hanging="284"/>
        <w:rPr>
          <w:rFonts w:cs="Arial"/>
          <w:bCs/>
        </w:rPr>
      </w:pPr>
      <w:r w:rsidRPr="0005526D">
        <w:rPr>
          <w:rFonts w:cs="Arial"/>
          <w:bCs/>
        </w:rPr>
        <w:t>Urban Development Institute of Australia</w:t>
      </w:r>
      <w:r w:rsidR="00272A05" w:rsidRPr="0005526D">
        <w:rPr>
          <w:rFonts w:cs="Arial"/>
          <w:bCs/>
        </w:rPr>
        <w:t>.</w:t>
      </w:r>
    </w:p>
    <w:p w14:paraId="7B37032A" w14:textId="635D62F1" w:rsidR="000D18B4" w:rsidRPr="00D3008A" w:rsidRDefault="000D18B4" w:rsidP="000D18B4">
      <w:pPr>
        <w:spacing w:before="60" w:after="0" w:line="240" w:lineRule="auto"/>
        <w:rPr>
          <w:rFonts w:cs="Arial"/>
        </w:rPr>
      </w:pPr>
      <w:r w:rsidRPr="00061211">
        <w:rPr>
          <w:rFonts w:cs="Arial"/>
        </w:rPr>
        <w:t xml:space="preserve">The </w:t>
      </w:r>
      <w:r>
        <w:rPr>
          <w:rFonts w:cs="Arial"/>
        </w:rPr>
        <w:t>Taskforce was supported by a Project Team compris</w:t>
      </w:r>
      <w:r w:rsidR="00272A05">
        <w:rPr>
          <w:rFonts w:cs="Arial"/>
        </w:rPr>
        <w:t>ing</w:t>
      </w:r>
      <w:r>
        <w:rPr>
          <w:rFonts w:cs="Arial"/>
        </w:rPr>
        <w:t xml:space="preserve"> the Secretariat from the Department of Communities, Child Safety and Disability Services (DCCSDS) and officers </w:t>
      </w:r>
      <w:r w:rsidRPr="00D3008A">
        <w:rPr>
          <w:rFonts w:cs="Arial"/>
        </w:rPr>
        <w:t>from the Department of Housing and Public Works.</w:t>
      </w:r>
    </w:p>
    <w:p w14:paraId="0881514E" w14:textId="77777777" w:rsidR="000D18B4" w:rsidRPr="004C1AE3" w:rsidRDefault="000D18B4" w:rsidP="000D18B4">
      <w:pPr>
        <w:spacing w:before="60" w:after="0" w:line="240" w:lineRule="auto"/>
        <w:ind w:left="360"/>
      </w:pPr>
    </w:p>
    <w:p w14:paraId="6418E3B1" w14:textId="10A9B43C" w:rsidR="000D18B4" w:rsidRDefault="000D18B4" w:rsidP="000D18B4">
      <w:pPr>
        <w:pStyle w:val="Heading2"/>
      </w:pPr>
      <w:bookmarkStart w:id="186" w:name="_Toc460257477"/>
      <w:r>
        <w:t xml:space="preserve">Terms of </w:t>
      </w:r>
      <w:r w:rsidR="00743207">
        <w:t>r</w:t>
      </w:r>
      <w:r>
        <w:t>eference</w:t>
      </w:r>
      <w:bookmarkEnd w:id="186"/>
    </w:p>
    <w:p w14:paraId="27FA4CA3" w14:textId="42F09063" w:rsidR="000D18B4" w:rsidRDefault="000D18B4" w:rsidP="00BB1BF5">
      <w:pPr>
        <w:spacing w:after="120"/>
      </w:pPr>
      <w:r>
        <w:t xml:space="preserve">The </w:t>
      </w:r>
      <w:r w:rsidRPr="00AC6CD5">
        <w:t>Terms of Reference</w:t>
      </w:r>
      <w:r>
        <w:t xml:space="preserve"> </w:t>
      </w:r>
      <w:r w:rsidR="00953C30">
        <w:rPr>
          <w:rFonts w:eastAsia="Times New Roman" w:cs="Arial"/>
        </w:rPr>
        <w:t xml:space="preserve">at Appendix 1 </w:t>
      </w:r>
      <w:r>
        <w:t xml:space="preserve">outline </w:t>
      </w:r>
      <w:r w:rsidRPr="00AC6CD5">
        <w:t>the purpose of the Taskforce</w:t>
      </w:r>
      <w:r w:rsidR="00272A05">
        <w:rPr>
          <w:rFonts w:eastAsia="Times New Roman" w:cs="Arial"/>
        </w:rPr>
        <w:t xml:space="preserve">. </w:t>
      </w:r>
      <w:r>
        <w:t xml:space="preserve">The primary focus of the Taskforce was to make recommendations to address gaps in housing supply and related support </w:t>
      </w:r>
      <w:r w:rsidRPr="000B49E3">
        <w:t>needs of older people</w:t>
      </w:r>
      <w:r>
        <w:t>. In addressing the gaps, the key principles were to:</w:t>
      </w:r>
    </w:p>
    <w:p w14:paraId="485AC2C2" w14:textId="77777777" w:rsidR="000D18B4" w:rsidRDefault="000D18B4" w:rsidP="000D18B4">
      <w:pPr>
        <w:pStyle w:val="ListParagraph"/>
        <w:numPr>
          <w:ilvl w:val="0"/>
          <w:numId w:val="5"/>
        </w:numPr>
        <w:spacing w:after="120" w:line="276" w:lineRule="auto"/>
      </w:pPr>
      <w:r>
        <w:t>improve choice</w:t>
      </w:r>
    </w:p>
    <w:p w14:paraId="5CEE797F" w14:textId="77777777" w:rsidR="000D18B4" w:rsidRDefault="000D18B4" w:rsidP="000D18B4">
      <w:pPr>
        <w:pStyle w:val="ListParagraph"/>
        <w:numPr>
          <w:ilvl w:val="0"/>
          <w:numId w:val="5"/>
        </w:numPr>
        <w:spacing w:after="120" w:line="276" w:lineRule="auto"/>
      </w:pPr>
      <w:r>
        <w:t>reduce complexity</w:t>
      </w:r>
    </w:p>
    <w:p w14:paraId="43B7E1FE" w14:textId="77777777" w:rsidR="000D18B4" w:rsidRDefault="000D18B4" w:rsidP="000D18B4">
      <w:pPr>
        <w:pStyle w:val="ListParagraph"/>
        <w:numPr>
          <w:ilvl w:val="0"/>
          <w:numId w:val="5"/>
        </w:numPr>
        <w:spacing w:after="120" w:line="276" w:lineRule="auto"/>
      </w:pPr>
      <w:r>
        <w:t>improve affordability</w:t>
      </w:r>
    </w:p>
    <w:p w14:paraId="0065937C" w14:textId="21E005F3" w:rsidR="000D18B4" w:rsidRDefault="000D18B4" w:rsidP="000D18B4">
      <w:pPr>
        <w:pStyle w:val="ListParagraph"/>
        <w:numPr>
          <w:ilvl w:val="0"/>
          <w:numId w:val="5"/>
        </w:numPr>
        <w:spacing w:after="120" w:line="276" w:lineRule="auto"/>
      </w:pPr>
      <w:r>
        <w:t xml:space="preserve">ensure equity and fairness </w:t>
      </w:r>
    </w:p>
    <w:p w14:paraId="53D7B717" w14:textId="77777777" w:rsidR="000D18B4" w:rsidRDefault="000D18B4" w:rsidP="000D18B4">
      <w:pPr>
        <w:pStyle w:val="ListParagraph"/>
        <w:numPr>
          <w:ilvl w:val="0"/>
          <w:numId w:val="5"/>
        </w:numPr>
        <w:spacing w:after="120" w:line="276" w:lineRule="auto"/>
      </w:pPr>
      <w:r>
        <w:t>foster independence.</w:t>
      </w:r>
    </w:p>
    <w:p w14:paraId="36D3AF33" w14:textId="24960848" w:rsidR="00BC66AD" w:rsidRDefault="00BC66AD" w:rsidP="00DC7291">
      <w:r>
        <w:t>In particular, the focus was on removing barriers to equitable access to the full range of housing options that exist, including social housing options, as well as the housing issues faced by older Aboriginal and Torres Strait Islander people and disadvantaged older people.</w:t>
      </w:r>
    </w:p>
    <w:p w14:paraId="1597CC4B" w14:textId="2A5108E8" w:rsidR="000D18B4" w:rsidRPr="00BB1BF5" w:rsidRDefault="000D18B4" w:rsidP="00BB1BF5">
      <w:pPr>
        <w:spacing w:after="60"/>
      </w:pPr>
      <w:r w:rsidRPr="00BB1BF5">
        <w:t>The overall objectives of the Taskforce were</w:t>
      </w:r>
      <w:r w:rsidR="00953C30">
        <w:t xml:space="preserve"> to</w:t>
      </w:r>
      <w:r w:rsidRPr="00BB1BF5">
        <w:t>:</w:t>
      </w:r>
    </w:p>
    <w:p w14:paraId="7B85206D" w14:textId="01CF66A8" w:rsidR="000D18B4" w:rsidRPr="00BB1BF5" w:rsidRDefault="00953C30" w:rsidP="00BB1BF5">
      <w:pPr>
        <w:pStyle w:val="ListParagraph"/>
        <w:numPr>
          <w:ilvl w:val="0"/>
          <w:numId w:val="5"/>
        </w:numPr>
        <w:spacing w:after="120" w:line="276" w:lineRule="auto"/>
      </w:pPr>
      <w:r>
        <w:t>c</w:t>
      </w:r>
      <w:r w:rsidR="000D18B4" w:rsidRPr="00BB1BF5">
        <w:t>onsider how older Queenslanders are housed and whether this meets their needs both now and into the future</w:t>
      </w:r>
    </w:p>
    <w:p w14:paraId="3D39E4DE" w14:textId="0CA1DB41" w:rsidR="000D18B4" w:rsidRPr="00BB1BF5" w:rsidRDefault="00953C30" w:rsidP="00BB1BF5">
      <w:pPr>
        <w:pStyle w:val="ListParagraph"/>
        <w:numPr>
          <w:ilvl w:val="0"/>
          <w:numId w:val="5"/>
        </w:numPr>
        <w:spacing w:after="120" w:line="276" w:lineRule="auto"/>
      </w:pPr>
      <w:r>
        <w:t>g</w:t>
      </w:r>
      <w:r w:rsidR="000D18B4" w:rsidRPr="00BB1BF5">
        <w:t>uide research into, and consult the community on, barriers that prevent older Queenslanders accessing care and housing/accommodation that is affordable, and that enables them to maintain independence as they age</w:t>
      </w:r>
    </w:p>
    <w:p w14:paraId="710DE872" w14:textId="165C940A" w:rsidR="000D18B4" w:rsidRPr="00BB1BF5" w:rsidRDefault="00953C30" w:rsidP="00BB1BF5">
      <w:pPr>
        <w:pStyle w:val="ListParagraph"/>
        <w:numPr>
          <w:ilvl w:val="0"/>
          <w:numId w:val="5"/>
        </w:numPr>
        <w:spacing w:after="120" w:line="276" w:lineRule="auto"/>
      </w:pPr>
      <w:r>
        <w:t>c</w:t>
      </w:r>
      <w:r w:rsidR="000D18B4" w:rsidRPr="00BB1BF5">
        <w:t xml:space="preserve">onsider the seniors housing regulatory environment, in particular overlapping or complex regulation </w:t>
      </w:r>
    </w:p>
    <w:p w14:paraId="3D9B486A" w14:textId="78A80C4F" w:rsidR="000D18B4" w:rsidRPr="00BB1BF5" w:rsidRDefault="00953C30" w:rsidP="00BB1BF5">
      <w:pPr>
        <w:pStyle w:val="ListParagraph"/>
        <w:numPr>
          <w:ilvl w:val="0"/>
          <w:numId w:val="5"/>
        </w:numPr>
        <w:spacing w:after="120" w:line="276" w:lineRule="auto"/>
      </w:pPr>
      <w:r>
        <w:t>e</w:t>
      </w:r>
      <w:r w:rsidR="000D18B4" w:rsidRPr="00BB1BF5">
        <w:t xml:space="preserve">xamine the role that can be played by older people and their families, support service providers, industry and government agencies in developing solutions to address these barriers. </w:t>
      </w:r>
    </w:p>
    <w:p w14:paraId="6435E1DA" w14:textId="77777777" w:rsidR="00796DB1" w:rsidRDefault="00796DB1" w:rsidP="00BB1BF5">
      <w:pPr>
        <w:spacing w:before="60" w:after="0" w:line="240" w:lineRule="auto"/>
        <w:ind w:left="360"/>
      </w:pPr>
    </w:p>
    <w:p w14:paraId="75A6E9F4" w14:textId="4CB20FA5" w:rsidR="00796DB1" w:rsidRDefault="00796DB1" w:rsidP="00796DB1">
      <w:pPr>
        <w:pStyle w:val="Heading2"/>
      </w:pPr>
      <w:bookmarkStart w:id="187" w:name="_Toc460257478"/>
      <w:r>
        <w:t xml:space="preserve">Final </w:t>
      </w:r>
      <w:r w:rsidR="00743207">
        <w:t>r</w:t>
      </w:r>
      <w:r>
        <w:t>eport</w:t>
      </w:r>
      <w:bookmarkEnd w:id="187"/>
    </w:p>
    <w:p w14:paraId="5A77C9CA" w14:textId="64E04CFD" w:rsidR="00732F69" w:rsidRPr="00732F69" w:rsidRDefault="000D18B4" w:rsidP="00BB1BF5">
      <w:pPr>
        <w:rPr>
          <w:rFonts w:cs="Arial"/>
        </w:rPr>
      </w:pPr>
      <w:r w:rsidRPr="00BB1BF5">
        <w:rPr>
          <w:rFonts w:cs="Arial"/>
        </w:rPr>
        <w:t xml:space="preserve">This </w:t>
      </w:r>
      <w:r w:rsidR="00796DB1" w:rsidRPr="00732F69">
        <w:rPr>
          <w:rFonts w:cs="Arial"/>
        </w:rPr>
        <w:t>f</w:t>
      </w:r>
      <w:r w:rsidRPr="00BB1BF5">
        <w:rPr>
          <w:rFonts w:cs="Arial"/>
        </w:rPr>
        <w:t xml:space="preserve">inal </w:t>
      </w:r>
      <w:r w:rsidR="00796DB1" w:rsidRPr="00732F69">
        <w:rPr>
          <w:rFonts w:cs="Arial"/>
        </w:rPr>
        <w:t>r</w:t>
      </w:r>
      <w:r w:rsidRPr="00BB1BF5">
        <w:rPr>
          <w:rFonts w:cs="Arial"/>
        </w:rPr>
        <w:t>eport summarises the evidence, issues and pathways considered by the Taskforce and specifies recommendations, in accordance with the Terms of Reference.</w:t>
      </w:r>
    </w:p>
    <w:p w14:paraId="0935CCAC" w14:textId="6A77C18E" w:rsidR="000D18B4" w:rsidRDefault="00732F69" w:rsidP="00BB1BF5">
      <w:pPr>
        <w:rPr>
          <w:rFonts w:cs="Arial"/>
          <w:lang w:val="en-US"/>
        </w:rPr>
      </w:pPr>
      <w:r w:rsidRPr="00732F69">
        <w:rPr>
          <w:rFonts w:cs="Arial"/>
        </w:rPr>
        <w:t>This report is not intended to be a detailed record of all matters relating to the complex issue of housing for older people</w:t>
      </w:r>
      <w:r w:rsidRPr="00732F69">
        <w:t>.</w:t>
      </w:r>
      <w:r w:rsidR="000D18B4">
        <w:rPr>
          <w:rFonts w:cs="Arial"/>
          <w:lang w:val="en-US"/>
        </w:rPr>
        <w:t xml:space="preserve">  </w:t>
      </w:r>
      <w:r w:rsidR="000D18B4">
        <w:rPr>
          <w:rFonts w:cs="Arial"/>
          <w:lang w:val="en-US"/>
        </w:rPr>
        <w:br w:type="page"/>
      </w:r>
    </w:p>
    <w:p w14:paraId="6FF9A4DE" w14:textId="14A5FEE2" w:rsidR="000D18B4" w:rsidRDefault="000D18B4" w:rsidP="000D18B4">
      <w:pPr>
        <w:pStyle w:val="Heading1"/>
      </w:pPr>
      <w:bookmarkStart w:id="188" w:name="_Toc460257479"/>
      <w:r>
        <w:lastRenderedPageBreak/>
        <w:t>THE TASKFORCE VISION AND APPROACH</w:t>
      </w:r>
      <w:bookmarkEnd w:id="188"/>
    </w:p>
    <w:p w14:paraId="5736D64D" w14:textId="11BA734A" w:rsidR="000D18B4" w:rsidRPr="0028438A" w:rsidRDefault="0028438A" w:rsidP="000D18B4">
      <w:pPr>
        <w:rPr>
          <w:rFonts w:cs="Arial"/>
          <w:i/>
        </w:rPr>
      </w:pPr>
      <w:r>
        <w:rPr>
          <w:i/>
        </w:rPr>
        <w:t>‘</w:t>
      </w:r>
      <w:r w:rsidR="000D18B4" w:rsidRPr="0028438A">
        <w:rPr>
          <w:i/>
        </w:rPr>
        <w:t xml:space="preserve">To enable </w:t>
      </w:r>
      <w:r w:rsidR="000D18B4" w:rsidRPr="0028438A">
        <w:rPr>
          <w:rFonts w:cs="Arial"/>
          <w:i/>
        </w:rPr>
        <w:t>older Queenslanders to retain their independence into old age and control how and where they live, and to lead a life of active ageing.</w:t>
      </w:r>
      <w:r>
        <w:rPr>
          <w:rFonts w:cs="Arial"/>
          <w:i/>
        </w:rPr>
        <w:t>’</w:t>
      </w:r>
    </w:p>
    <w:p w14:paraId="6DC83956" w14:textId="6383430D" w:rsidR="000D18B4" w:rsidRPr="00A35E8C" w:rsidRDefault="000D18B4" w:rsidP="000D18B4">
      <w:pPr>
        <w:pStyle w:val="Heading2"/>
      </w:pPr>
      <w:bookmarkStart w:id="189" w:name="_Toc460257480"/>
      <w:r w:rsidRPr="00A35E8C">
        <w:t>Active ageing</w:t>
      </w:r>
      <w:bookmarkEnd w:id="189"/>
    </w:p>
    <w:p w14:paraId="354C91A1" w14:textId="77777777" w:rsidR="000D18B4" w:rsidRPr="00A35E8C" w:rsidRDefault="000D18B4" w:rsidP="000D18B4">
      <w:r w:rsidRPr="00A35E8C">
        <w:t xml:space="preserve">According to the World Health Organisation ‘active ageing’ is: </w:t>
      </w:r>
    </w:p>
    <w:p w14:paraId="557B8ADB" w14:textId="0BF67867" w:rsidR="000D18B4" w:rsidRPr="00A35E8C" w:rsidRDefault="000D18B4" w:rsidP="000D18B4">
      <w:pPr>
        <w:rPr>
          <w:i/>
        </w:rPr>
      </w:pPr>
      <w:r w:rsidRPr="00A35E8C">
        <w:rPr>
          <w:i/>
        </w:rPr>
        <w:t>‘</w:t>
      </w:r>
      <w:r w:rsidR="0028438A" w:rsidRPr="00A35E8C">
        <w:rPr>
          <w:i/>
        </w:rPr>
        <w:t>The</w:t>
      </w:r>
      <w:r w:rsidRPr="00A35E8C">
        <w:rPr>
          <w:i/>
        </w:rPr>
        <w:t xml:space="preserve"> process of optimising opportunities for health, participation and security in order to enhance quality of life as people age</w:t>
      </w:r>
      <w:r w:rsidR="0028438A">
        <w:rPr>
          <w:i/>
        </w:rPr>
        <w:t>.</w:t>
      </w:r>
      <w:r w:rsidRPr="00A35E8C">
        <w:rPr>
          <w:i/>
        </w:rPr>
        <w:t>’</w:t>
      </w:r>
    </w:p>
    <w:p w14:paraId="7F8AC454" w14:textId="0975CFE1" w:rsidR="000D18B4" w:rsidRPr="00A35E8C" w:rsidRDefault="000D18B4" w:rsidP="000D18B4">
      <w:r w:rsidRPr="00687036">
        <w:t>Active ageing</w:t>
      </w:r>
      <w:r w:rsidRPr="00A35E8C">
        <w:t xml:space="preserve"> allows people to participate in their communities and reach their potential for physical, mental and social well-being. </w:t>
      </w:r>
    </w:p>
    <w:p w14:paraId="099AC361" w14:textId="65B0B272" w:rsidR="000D18B4" w:rsidRDefault="000D18B4" w:rsidP="000D18B4">
      <w:pPr>
        <w:pStyle w:val="Heading2"/>
      </w:pPr>
      <w:bookmarkStart w:id="190" w:name="_Toc460257481"/>
      <w:r>
        <w:t>Housing issues</w:t>
      </w:r>
      <w:bookmarkEnd w:id="190"/>
    </w:p>
    <w:p w14:paraId="11461345" w14:textId="1101BDC9" w:rsidR="000D18B4" w:rsidRPr="00A35E8C" w:rsidRDefault="00687036" w:rsidP="000D18B4">
      <w:r>
        <w:t>Older people often only have one chance to make a housing choice.</w:t>
      </w:r>
      <w:r w:rsidR="000D18B4">
        <w:t xml:space="preserve"> Th</w:t>
      </w:r>
      <w:r>
        <w:t>eir</w:t>
      </w:r>
      <w:r w:rsidR="000D18B4">
        <w:t xml:space="preserve"> decision is extremely important as </w:t>
      </w:r>
      <w:r>
        <w:t xml:space="preserve">financial constraints experienced by many people in retirement </w:t>
      </w:r>
      <w:r w:rsidR="000D18B4">
        <w:t xml:space="preserve">can </w:t>
      </w:r>
      <w:r w:rsidR="00BB0369">
        <w:t xml:space="preserve">make it </w:t>
      </w:r>
      <w:r w:rsidR="000D18B4">
        <w:t>very difficult to recover from a poor housing outcome</w:t>
      </w:r>
      <w:r>
        <w:t xml:space="preserve">. </w:t>
      </w:r>
      <w:r w:rsidR="00BB0369">
        <w:t>A person’s</w:t>
      </w:r>
      <w:r w:rsidR="000D18B4">
        <w:t xml:space="preserve"> inclination and capacity to adapt and/or transition to supportive housing</w:t>
      </w:r>
      <w:r w:rsidR="000D18B4" w:rsidRPr="00A35E8C">
        <w:t xml:space="preserve"> is impacted by</w:t>
      </w:r>
      <w:r w:rsidR="000D18B4">
        <w:t>:</w:t>
      </w:r>
    </w:p>
    <w:p w14:paraId="485DE5EE" w14:textId="7B086592" w:rsidR="000D18B4" w:rsidRDefault="00953C30" w:rsidP="004363AF">
      <w:pPr>
        <w:pStyle w:val="ListParagraph"/>
        <w:numPr>
          <w:ilvl w:val="0"/>
          <w:numId w:val="38"/>
        </w:numPr>
      </w:pPr>
      <w:r>
        <w:t>a</w:t>
      </w:r>
      <w:r w:rsidR="000D18B4" w:rsidRPr="00A35E8C">
        <w:t xml:space="preserve">n individual’s </w:t>
      </w:r>
      <w:r w:rsidR="000D18B4">
        <w:t xml:space="preserve">need, preference, </w:t>
      </w:r>
      <w:r w:rsidR="000D18B4" w:rsidRPr="00A35E8C">
        <w:t>ability, willingness</w:t>
      </w:r>
      <w:r w:rsidR="000D18B4">
        <w:t>, knowledge of,</w:t>
      </w:r>
      <w:r w:rsidR="000D18B4" w:rsidRPr="00A35E8C">
        <w:t xml:space="preserve"> and means to stay in, or move from</w:t>
      </w:r>
      <w:r w:rsidR="00BB0369">
        <w:t>,</w:t>
      </w:r>
      <w:r w:rsidR="000D18B4" w:rsidRPr="00A35E8C">
        <w:t xml:space="preserve"> one housing option to another</w:t>
      </w:r>
      <w:r w:rsidR="000D18B4">
        <w:t xml:space="preserve">  </w:t>
      </w:r>
    </w:p>
    <w:p w14:paraId="554AA736" w14:textId="150062E8" w:rsidR="000D18B4" w:rsidRDefault="00953C30" w:rsidP="004363AF">
      <w:pPr>
        <w:pStyle w:val="ListParagraph"/>
        <w:numPr>
          <w:ilvl w:val="0"/>
          <w:numId w:val="38"/>
        </w:numPr>
      </w:pPr>
      <w:r>
        <w:t>t</w:t>
      </w:r>
      <w:r w:rsidR="000D18B4" w:rsidRPr="00A35E8C">
        <w:t xml:space="preserve">he </w:t>
      </w:r>
      <w:r w:rsidR="000D18B4">
        <w:t xml:space="preserve">supply or </w:t>
      </w:r>
      <w:r w:rsidR="000D18B4" w:rsidRPr="00A35E8C">
        <w:t>availability of suitable housing and community services</w:t>
      </w:r>
      <w:r>
        <w:t xml:space="preserve"> (t</w:t>
      </w:r>
      <w:r w:rsidR="000D18B4" w:rsidRPr="00A35E8C">
        <w:t xml:space="preserve">his includes the </w:t>
      </w:r>
      <w:r w:rsidR="000D18B4">
        <w:t>quantity</w:t>
      </w:r>
      <w:r w:rsidR="000D18B4" w:rsidRPr="00A35E8C">
        <w:t xml:space="preserve">, </w:t>
      </w:r>
      <w:r w:rsidR="000D18B4">
        <w:t>diversity</w:t>
      </w:r>
      <w:r w:rsidR="000D18B4" w:rsidRPr="00A35E8C">
        <w:t>, size, location, adaptability, affordability, accessibility and quality</w:t>
      </w:r>
      <w:r w:rsidR="000D18B4">
        <w:t xml:space="preserve"> </w:t>
      </w:r>
      <w:r w:rsidR="00BB0369">
        <w:t>of housing and services</w:t>
      </w:r>
      <w:r>
        <w:t>)</w:t>
      </w:r>
    </w:p>
    <w:p w14:paraId="2BFDB4F6" w14:textId="6A08E5CF" w:rsidR="000D18B4" w:rsidRDefault="006768C9" w:rsidP="004363AF">
      <w:pPr>
        <w:pStyle w:val="ListParagraph"/>
        <w:numPr>
          <w:ilvl w:val="0"/>
          <w:numId w:val="38"/>
        </w:numPr>
      </w:pPr>
      <w:r>
        <w:t>g</w:t>
      </w:r>
      <w:r w:rsidR="000D18B4" w:rsidRPr="00A35E8C">
        <w:t>overnment policy</w:t>
      </w:r>
      <w:r w:rsidR="00BB0369">
        <w:t>,</w:t>
      </w:r>
      <w:r w:rsidR="000D18B4" w:rsidRPr="00A35E8C">
        <w:t xml:space="preserve"> which can </w:t>
      </w:r>
      <w:r w:rsidR="00BB0369">
        <w:t>affect</w:t>
      </w:r>
      <w:r w:rsidR="000D18B4" w:rsidRPr="00A35E8C">
        <w:t xml:space="preserve"> the decisions that individuals and businesses </w:t>
      </w:r>
      <w:r w:rsidR="00BB0369">
        <w:t>can</w:t>
      </w:r>
      <w:r w:rsidR="000D18B4" w:rsidRPr="00A35E8C">
        <w:t xml:space="preserve"> make</w:t>
      </w:r>
      <w:r w:rsidR="000D18B4">
        <w:t>,</w:t>
      </w:r>
      <w:r w:rsidR="000D18B4" w:rsidRPr="00A35E8C">
        <w:t xml:space="preserve"> </w:t>
      </w:r>
      <w:r w:rsidR="00BB0369">
        <w:t>may</w:t>
      </w:r>
      <w:r w:rsidR="00BB0369" w:rsidRPr="00A35E8C">
        <w:t xml:space="preserve"> </w:t>
      </w:r>
      <w:r w:rsidR="000D18B4" w:rsidRPr="00A35E8C">
        <w:t>impact on an older person’s choices</w:t>
      </w:r>
      <w:r w:rsidR="00BB0369">
        <w:t xml:space="preserve"> and</w:t>
      </w:r>
      <w:r w:rsidR="000D18B4" w:rsidRPr="00A35E8C">
        <w:t xml:space="preserve"> the supply of housing and services.</w:t>
      </w:r>
    </w:p>
    <w:p w14:paraId="1B655151" w14:textId="77777777" w:rsidR="00157D8B" w:rsidRPr="00A35E8C" w:rsidRDefault="00157D8B" w:rsidP="0005526D">
      <w:pPr>
        <w:pStyle w:val="ListParagraph"/>
      </w:pPr>
    </w:p>
    <w:p w14:paraId="031EB9F5" w14:textId="7484A29E" w:rsidR="000D18B4" w:rsidRPr="00617952" w:rsidRDefault="000D18B4" w:rsidP="000D18B4">
      <w:pPr>
        <w:pStyle w:val="Heading2"/>
      </w:pPr>
      <w:r>
        <w:t xml:space="preserve"> </w:t>
      </w:r>
      <w:bookmarkStart w:id="191" w:name="_Toc460257482"/>
      <w:r>
        <w:t>Approach</w:t>
      </w:r>
      <w:bookmarkEnd w:id="191"/>
    </w:p>
    <w:p w14:paraId="4CD09178" w14:textId="04FA5E73" w:rsidR="000D18B4" w:rsidRDefault="000D18B4" w:rsidP="000D18B4">
      <w:r>
        <w:rPr>
          <w:rFonts w:cs="Arial"/>
        </w:rPr>
        <w:t xml:space="preserve">The Taskforce met eight times </w:t>
      </w:r>
      <w:r w:rsidR="00732F69">
        <w:rPr>
          <w:rFonts w:cs="Arial"/>
        </w:rPr>
        <w:t>between</w:t>
      </w:r>
      <w:r>
        <w:rPr>
          <w:rFonts w:cs="Arial"/>
        </w:rPr>
        <w:t xml:space="preserve"> October 2015 </w:t>
      </w:r>
      <w:r w:rsidR="00732F69">
        <w:rPr>
          <w:rFonts w:cs="Arial"/>
        </w:rPr>
        <w:t xml:space="preserve">and </w:t>
      </w:r>
      <w:r>
        <w:rPr>
          <w:rFonts w:cs="Arial"/>
        </w:rPr>
        <w:t>August 2016.  A systemic approach</w:t>
      </w:r>
      <w:r w:rsidR="00732F69">
        <w:rPr>
          <w:rFonts w:cs="Arial"/>
        </w:rPr>
        <w:t>,</w:t>
      </w:r>
      <w:r>
        <w:rPr>
          <w:rFonts w:cs="Arial"/>
        </w:rPr>
        <w:t xml:space="preserve"> using a number of research methods</w:t>
      </w:r>
      <w:r w:rsidR="00732F69">
        <w:rPr>
          <w:rFonts w:cs="Arial"/>
        </w:rPr>
        <w:t>,</w:t>
      </w:r>
      <w:r>
        <w:rPr>
          <w:rFonts w:cs="Arial"/>
        </w:rPr>
        <w:t xml:space="preserve"> w</w:t>
      </w:r>
      <w:r w:rsidR="00732F69">
        <w:rPr>
          <w:rFonts w:cs="Arial"/>
        </w:rPr>
        <w:t>as</w:t>
      </w:r>
      <w:r>
        <w:rPr>
          <w:rFonts w:cs="Arial"/>
        </w:rPr>
        <w:t xml:space="preserve"> used to identify issues, undertake consultation, analyse findings and formulate recommendations.</w:t>
      </w:r>
      <w:r>
        <w:t xml:space="preserve"> </w:t>
      </w:r>
    </w:p>
    <w:p w14:paraId="78697B8A" w14:textId="77777777" w:rsidR="000D18B4" w:rsidRPr="0005526D" w:rsidRDefault="000D18B4" w:rsidP="00111753">
      <w:pPr>
        <w:pStyle w:val="Heading3"/>
      </w:pPr>
      <w:bookmarkStart w:id="192" w:name="_Toc460257483"/>
      <w:r w:rsidRPr="00111753">
        <w:rPr>
          <w:sz w:val="26"/>
          <w:szCs w:val="26"/>
        </w:rPr>
        <w:t>Analysis</w:t>
      </w:r>
      <w:r w:rsidRPr="0005526D">
        <w:t xml:space="preserve"> and formulation of recommendations</w:t>
      </w:r>
      <w:bookmarkEnd w:id="192"/>
    </w:p>
    <w:p w14:paraId="23ED5376" w14:textId="6881149C" w:rsidR="000D18B4" w:rsidRDefault="000D18B4" w:rsidP="000D18B4">
      <w:pPr>
        <w:rPr>
          <w:rFonts w:cs="Arial"/>
        </w:rPr>
      </w:pPr>
      <w:r>
        <w:rPr>
          <w:rFonts w:cs="Arial"/>
        </w:rPr>
        <w:t xml:space="preserve">The Taskforce examined issues </w:t>
      </w:r>
      <w:r w:rsidR="00066C31">
        <w:rPr>
          <w:rFonts w:cs="Arial"/>
        </w:rPr>
        <w:t xml:space="preserve">affecting </w:t>
      </w:r>
      <w:r>
        <w:rPr>
          <w:rFonts w:cs="Arial"/>
        </w:rPr>
        <w:t xml:space="preserve">older people </w:t>
      </w:r>
      <w:r w:rsidR="00732F69">
        <w:rPr>
          <w:rFonts w:cs="Arial"/>
        </w:rPr>
        <w:t>across a range of population groups and life circumstances.</w:t>
      </w:r>
      <w:r>
        <w:rPr>
          <w:rFonts w:cs="Arial"/>
        </w:rPr>
        <w:t xml:space="preserve"> </w:t>
      </w:r>
      <w:r w:rsidR="00732F69">
        <w:rPr>
          <w:rFonts w:cs="Arial"/>
        </w:rPr>
        <w:t>C</w:t>
      </w:r>
      <w:r>
        <w:rPr>
          <w:rFonts w:cs="Arial"/>
        </w:rPr>
        <w:t xml:space="preserve">onsideration </w:t>
      </w:r>
      <w:r w:rsidR="00732F69">
        <w:rPr>
          <w:rFonts w:cs="Arial"/>
        </w:rPr>
        <w:t>was given to</w:t>
      </w:r>
      <w:r>
        <w:rPr>
          <w:rFonts w:cs="Arial"/>
        </w:rPr>
        <w:t xml:space="preserve"> research findings, demographic and </w:t>
      </w:r>
      <w:r w:rsidR="00732F69">
        <w:rPr>
          <w:rFonts w:cs="Arial"/>
        </w:rPr>
        <w:t xml:space="preserve">other </w:t>
      </w:r>
      <w:r>
        <w:rPr>
          <w:rFonts w:cs="Arial"/>
        </w:rPr>
        <w:t>emerging issues, broader policy context, consultation findings and expert views</w:t>
      </w:r>
      <w:r w:rsidR="00732F69">
        <w:rPr>
          <w:rFonts w:cs="Arial"/>
        </w:rPr>
        <w:t>.</w:t>
      </w:r>
      <w:r>
        <w:rPr>
          <w:rFonts w:cs="Arial"/>
        </w:rPr>
        <w:t xml:space="preserve"> The Taskforce identified a range of barriers and enablers for increasing housing options and access to support services for older people. </w:t>
      </w:r>
      <w:r w:rsidR="00732F69">
        <w:rPr>
          <w:rFonts w:cs="Arial"/>
        </w:rPr>
        <w:t>It</w:t>
      </w:r>
      <w:r>
        <w:rPr>
          <w:rFonts w:cs="Arial"/>
        </w:rPr>
        <w:t xml:space="preserve"> envisioned what success would look like and the pathways for achieving it.</w:t>
      </w:r>
    </w:p>
    <w:p w14:paraId="62A7896B" w14:textId="54E08EC8" w:rsidR="00014FAB" w:rsidRDefault="00560414" w:rsidP="000D18B4">
      <w:pPr>
        <w:rPr>
          <w:rFonts w:cs="Arial"/>
        </w:rPr>
      </w:pPr>
      <w:r>
        <w:rPr>
          <w:rFonts w:cs="Arial"/>
        </w:rPr>
        <w:t>A key principle</w:t>
      </w:r>
      <w:r w:rsidR="008C22AB">
        <w:rPr>
          <w:rFonts w:cs="Arial"/>
        </w:rPr>
        <w:t xml:space="preserve"> underpinning </w:t>
      </w:r>
      <w:r>
        <w:rPr>
          <w:rFonts w:cs="Arial"/>
        </w:rPr>
        <w:t>the Taskforce</w:t>
      </w:r>
      <w:r w:rsidR="00732F69">
        <w:rPr>
          <w:rFonts w:cs="Arial"/>
        </w:rPr>
        <w:t>’s</w:t>
      </w:r>
      <w:r>
        <w:rPr>
          <w:rFonts w:cs="Arial"/>
        </w:rPr>
        <w:t xml:space="preserve"> deliberations and recommendations </w:t>
      </w:r>
      <w:r w:rsidR="00B04CCA">
        <w:rPr>
          <w:rFonts w:cs="Arial"/>
        </w:rPr>
        <w:t xml:space="preserve">is that </w:t>
      </w:r>
      <w:r w:rsidR="00732F69">
        <w:rPr>
          <w:rFonts w:cs="Arial"/>
        </w:rPr>
        <w:t>g</w:t>
      </w:r>
      <w:r w:rsidR="00B04CCA">
        <w:rPr>
          <w:rFonts w:cs="Arial"/>
        </w:rPr>
        <w:t xml:space="preserve">overnment funding largely provides a safety net, </w:t>
      </w:r>
      <w:r w:rsidR="00401E97">
        <w:rPr>
          <w:rFonts w:cs="Arial"/>
        </w:rPr>
        <w:t xml:space="preserve">which </w:t>
      </w:r>
      <w:r w:rsidR="00B04CCA">
        <w:rPr>
          <w:rFonts w:cs="Arial"/>
        </w:rPr>
        <w:t xml:space="preserve">should be directed at </w:t>
      </w:r>
      <w:r w:rsidR="00EF4132">
        <w:rPr>
          <w:rFonts w:cs="Arial"/>
        </w:rPr>
        <w:t xml:space="preserve">response and </w:t>
      </w:r>
      <w:r w:rsidR="00401E97">
        <w:rPr>
          <w:rFonts w:cs="Arial"/>
        </w:rPr>
        <w:t xml:space="preserve">prevention approaches for </w:t>
      </w:r>
      <w:r w:rsidR="00B04CCA">
        <w:rPr>
          <w:rFonts w:cs="Arial"/>
        </w:rPr>
        <w:t xml:space="preserve">those who are most vulnerable or at risk. The Taskforce </w:t>
      </w:r>
      <w:r w:rsidR="007C01FF">
        <w:rPr>
          <w:rFonts w:cs="Arial"/>
        </w:rPr>
        <w:t xml:space="preserve">also </w:t>
      </w:r>
      <w:r w:rsidR="00A53B2E">
        <w:rPr>
          <w:rFonts w:cs="Arial"/>
        </w:rPr>
        <w:t>sought</w:t>
      </w:r>
      <w:r w:rsidR="00B04CCA">
        <w:rPr>
          <w:rFonts w:cs="Arial"/>
        </w:rPr>
        <w:t xml:space="preserve"> </w:t>
      </w:r>
      <w:r>
        <w:rPr>
          <w:rFonts w:cs="Arial"/>
        </w:rPr>
        <w:t xml:space="preserve">sustainable </w:t>
      </w:r>
      <w:r w:rsidR="00960984">
        <w:rPr>
          <w:rFonts w:cs="Arial"/>
        </w:rPr>
        <w:t xml:space="preserve">market </w:t>
      </w:r>
      <w:r>
        <w:rPr>
          <w:rFonts w:cs="Arial"/>
        </w:rPr>
        <w:t>solutions</w:t>
      </w:r>
      <w:r w:rsidR="00A53B2E">
        <w:rPr>
          <w:rFonts w:cs="Arial"/>
        </w:rPr>
        <w:t xml:space="preserve"> whereby, i</w:t>
      </w:r>
      <w:r>
        <w:rPr>
          <w:rFonts w:cs="Arial"/>
        </w:rPr>
        <w:t>n the first instance</w:t>
      </w:r>
      <w:r w:rsidR="00A53B2E">
        <w:rPr>
          <w:rFonts w:cs="Arial"/>
        </w:rPr>
        <w:t>,</w:t>
      </w:r>
      <w:r>
        <w:rPr>
          <w:rFonts w:cs="Arial"/>
        </w:rPr>
        <w:t xml:space="preserve"> older people are able to </w:t>
      </w:r>
      <w:r w:rsidR="003B67DB">
        <w:rPr>
          <w:rFonts w:cs="Arial"/>
        </w:rPr>
        <w:t xml:space="preserve">independently </w:t>
      </w:r>
      <w:r w:rsidR="00960984">
        <w:rPr>
          <w:rFonts w:cs="Arial"/>
        </w:rPr>
        <w:t xml:space="preserve">plan, </w:t>
      </w:r>
      <w:r>
        <w:rPr>
          <w:rFonts w:cs="Arial"/>
        </w:rPr>
        <w:t xml:space="preserve">access and fund their own </w:t>
      </w:r>
      <w:r w:rsidR="00960984">
        <w:rPr>
          <w:rFonts w:cs="Arial"/>
        </w:rPr>
        <w:t xml:space="preserve">housing and transition </w:t>
      </w:r>
      <w:r>
        <w:rPr>
          <w:rFonts w:cs="Arial"/>
        </w:rPr>
        <w:t>solutions</w:t>
      </w:r>
      <w:r w:rsidR="00C14929">
        <w:rPr>
          <w:rFonts w:cs="Arial"/>
        </w:rPr>
        <w:t xml:space="preserve">, with the private sector </w:t>
      </w:r>
      <w:r w:rsidR="00FA525D">
        <w:rPr>
          <w:rFonts w:cs="Arial"/>
        </w:rPr>
        <w:t>providing suitable housing options and community services</w:t>
      </w:r>
      <w:r w:rsidR="003B67DB">
        <w:rPr>
          <w:rFonts w:cs="Arial"/>
        </w:rPr>
        <w:t>.</w:t>
      </w:r>
      <w:r w:rsidR="00960984">
        <w:rPr>
          <w:rFonts w:cs="Arial"/>
        </w:rPr>
        <w:t xml:space="preserve"> </w:t>
      </w:r>
    </w:p>
    <w:p w14:paraId="504FBD83" w14:textId="02E3F2B6" w:rsidR="001F5C15" w:rsidRPr="00BB1BF5" w:rsidRDefault="000D18B4" w:rsidP="000D18B4">
      <w:pPr>
        <w:rPr>
          <w:rFonts w:cs="Arial"/>
        </w:rPr>
      </w:pPr>
      <w:r w:rsidRPr="00BB1BF5">
        <w:rPr>
          <w:rFonts w:cs="Arial"/>
        </w:rPr>
        <w:t>Recommendations were determined on a consensus basis</w:t>
      </w:r>
      <w:r w:rsidR="00066C31" w:rsidRPr="00066C31">
        <w:rPr>
          <w:rFonts w:cs="Arial"/>
        </w:rPr>
        <w:t xml:space="preserve"> </w:t>
      </w:r>
      <w:r w:rsidR="00066C31" w:rsidRPr="007F634A">
        <w:rPr>
          <w:rFonts w:cs="Arial"/>
        </w:rPr>
        <w:t>where possible</w:t>
      </w:r>
      <w:r w:rsidR="00066C31">
        <w:rPr>
          <w:rFonts w:cs="Arial"/>
        </w:rPr>
        <w:t xml:space="preserve"> and a majority basis where </w:t>
      </w:r>
      <w:r w:rsidRPr="00BB1BF5">
        <w:rPr>
          <w:rFonts w:cs="Arial"/>
        </w:rPr>
        <w:t xml:space="preserve">consensus was not reached. Therefore, the recommendations contained in this report may not represent the views of all Taskforce members. </w:t>
      </w:r>
      <w:r w:rsidR="00066C31">
        <w:rPr>
          <w:rFonts w:cs="Arial"/>
        </w:rPr>
        <w:t xml:space="preserve">In such cases, it is noted </w:t>
      </w:r>
      <w:r w:rsidRPr="00BB1BF5">
        <w:rPr>
          <w:rFonts w:cs="Arial"/>
        </w:rPr>
        <w:t xml:space="preserve">in the report.  </w:t>
      </w:r>
    </w:p>
    <w:p w14:paraId="1E263D28" w14:textId="146EAC31" w:rsidR="003B67DB" w:rsidRPr="003B67DB" w:rsidRDefault="003B67DB" w:rsidP="000D18B4">
      <w:pPr>
        <w:rPr>
          <w:rFonts w:cs="Arial"/>
        </w:rPr>
      </w:pPr>
      <w:r w:rsidRPr="00E44D25">
        <w:rPr>
          <w:rFonts w:cs="Arial"/>
        </w:rPr>
        <w:t xml:space="preserve">The </w:t>
      </w:r>
      <w:r w:rsidR="00066C31">
        <w:rPr>
          <w:rFonts w:cs="Arial"/>
        </w:rPr>
        <w:t xml:space="preserve">Taskforce’s </w:t>
      </w:r>
      <w:r w:rsidRPr="00E44D25">
        <w:rPr>
          <w:rFonts w:cs="Arial"/>
        </w:rPr>
        <w:t>recommendations are</w:t>
      </w:r>
      <w:r w:rsidR="00C453AE">
        <w:rPr>
          <w:rFonts w:cs="Arial"/>
        </w:rPr>
        <w:t xml:space="preserve"> intended for short</w:t>
      </w:r>
      <w:r w:rsidR="00300EB9">
        <w:rPr>
          <w:rFonts w:cs="Arial"/>
        </w:rPr>
        <w:t xml:space="preserve"> or medium</w:t>
      </w:r>
      <w:r w:rsidR="00C453AE">
        <w:rPr>
          <w:rFonts w:cs="Arial"/>
        </w:rPr>
        <w:t xml:space="preserve"> term implementation</w:t>
      </w:r>
      <w:r w:rsidR="00C36546">
        <w:rPr>
          <w:rFonts w:cs="Arial"/>
        </w:rPr>
        <w:t xml:space="preserve"> unless otherwise stated</w:t>
      </w:r>
      <w:r w:rsidR="00C453AE">
        <w:rPr>
          <w:rFonts w:cs="Arial"/>
        </w:rPr>
        <w:t xml:space="preserve"> and </w:t>
      </w:r>
      <w:r w:rsidR="00066C31">
        <w:rPr>
          <w:rFonts w:cs="Arial"/>
        </w:rPr>
        <w:t>should</w:t>
      </w:r>
      <w:r w:rsidR="00C453AE">
        <w:rPr>
          <w:rFonts w:cs="Arial"/>
        </w:rPr>
        <w:t xml:space="preserve"> be </w:t>
      </w:r>
      <w:r w:rsidR="00C36546">
        <w:rPr>
          <w:rFonts w:cs="Arial"/>
        </w:rPr>
        <w:t>read and considered as</w:t>
      </w:r>
      <w:r w:rsidR="00C453AE">
        <w:rPr>
          <w:rFonts w:cs="Arial"/>
        </w:rPr>
        <w:t xml:space="preserve"> a suite</w:t>
      </w:r>
      <w:r w:rsidR="00C36546">
        <w:rPr>
          <w:rFonts w:cs="Arial"/>
        </w:rPr>
        <w:t xml:space="preserve"> of </w:t>
      </w:r>
      <w:r w:rsidR="00066C31">
        <w:rPr>
          <w:rFonts w:cs="Arial"/>
        </w:rPr>
        <w:t xml:space="preserve">interrelated </w:t>
      </w:r>
      <w:r w:rsidR="00D40DCE">
        <w:rPr>
          <w:rFonts w:cs="Arial"/>
        </w:rPr>
        <w:t>actions</w:t>
      </w:r>
      <w:r w:rsidR="00066C31">
        <w:rPr>
          <w:rFonts w:cs="Arial"/>
        </w:rPr>
        <w:t>.</w:t>
      </w:r>
    </w:p>
    <w:p w14:paraId="3C04F6F5" w14:textId="77777777" w:rsidR="000D18B4" w:rsidRPr="0005526D" w:rsidRDefault="000D18B4" w:rsidP="00111753">
      <w:pPr>
        <w:pStyle w:val="Heading3"/>
      </w:pPr>
      <w:bookmarkStart w:id="193" w:name="_Toc460257484"/>
      <w:r w:rsidRPr="0005526D">
        <w:lastRenderedPageBreak/>
        <w:t xml:space="preserve">Issue </w:t>
      </w:r>
      <w:r w:rsidRPr="00111753">
        <w:rPr>
          <w:sz w:val="26"/>
          <w:szCs w:val="26"/>
        </w:rPr>
        <w:t>identification</w:t>
      </w:r>
      <w:r w:rsidRPr="0005526D">
        <w:t xml:space="preserve"> and conceptual model</w:t>
      </w:r>
      <w:bookmarkEnd w:id="193"/>
    </w:p>
    <w:p w14:paraId="2582DD29" w14:textId="4536BD49" w:rsidR="000D18B4" w:rsidRDefault="000D18B4" w:rsidP="000D18B4">
      <w:r>
        <w:t xml:space="preserve">Residential transition for older Queenslanders </w:t>
      </w:r>
      <w:r w:rsidR="00BB1BF5">
        <w:t>is affected by a large number of complex</w:t>
      </w:r>
      <w:r>
        <w:t xml:space="preserve"> issues. The Taskforce developed a </w:t>
      </w:r>
      <w:r w:rsidRPr="00A35E8C">
        <w:t>conceptual model of housing factors</w:t>
      </w:r>
      <w:r>
        <w:t xml:space="preserve"> to </w:t>
      </w:r>
      <w:r w:rsidR="00BB1BF5">
        <w:t>help prioritise</w:t>
      </w:r>
      <w:r w:rsidRPr="00BB1BF5">
        <w:t xml:space="preserve"> issues</w:t>
      </w:r>
      <w:r>
        <w:t xml:space="preserve"> for examination. T</w:t>
      </w:r>
      <w:r w:rsidRPr="00A35E8C">
        <w:t xml:space="preserve">he model </w:t>
      </w:r>
      <w:r w:rsidR="00BB1BF5">
        <w:t>includes</w:t>
      </w:r>
      <w:r w:rsidR="00BB1BF5" w:rsidRPr="00A35E8C">
        <w:t xml:space="preserve"> </w:t>
      </w:r>
      <w:r w:rsidRPr="00A35E8C">
        <w:t xml:space="preserve">the hierarchy </w:t>
      </w:r>
      <w:r w:rsidR="00BB1BF5">
        <w:t xml:space="preserve">of </w:t>
      </w:r>
      <w:r w:rsidR="00BB1BF5" w:rsidRPr="00A35E8C">
        <w:t>housing</w:t>
      </w:r>
      <w:r w:rsidR="00BB1BF5">
        <w:t>-</w:t>
      </w:r>
      <w:r w:rsidR="00BB1BF5" w:rsidRPr="00A35E8C">
        <w:t>related factors that contribute to active ageing</w:t>
      </w:r>
      <w:r w:rsidR="00BB1BF5">
        <w:t>, their linkages</w:t>
      </w:r>
      <w:r w:rsidR="00BB1BF5" w:rsidRPr="00A35E8C">
        <w:t xml:space="preserve"> </w:t>
      </w:r>
      <w:r w:rsidRPr="00A35E8C">
        <w:t>and causal relationships</w:t>
      </w:r>
      <w:r w:rsidR="00BB1BF5">
        <w:t>.</w:t>
      </w:r>
      <w:r w:rsidR="00D40DCE">
        <w:t xml:space="preserve"> </w:t>
      </w:r>
      <w:r w:rsidR="00E3219B">
        <w:t>A simple illustration of the</w:t>
      </w:r>
      <w:r>
        <w:t xml:space="preserve"> model is at Figure 1. </w:t>
      </w:r>
      <w:r w:rsidR="00E3219B">
        <w:t>T</w:t>
      </w:r>
      <w:r>
        <w:t>he detailed model</w:t>
      </w:r>
      <w:r w:rsidR="00E3219B">
        <w:t xml:space="preserve"> is in</w:t>
      </w:r>
      <w:r>
        <w:t xml:space="preserve"> Appendix </w:t>
      </w:r>
      <w:r w:rsidR="009B79C4">
        <w:t>2</w:t>
      </w:r>
      <w:r>
        <w:t>.</w:t>
      </w:r>
    </w:p>
    <w:p w14:paraId="286B44AA" w14:textId="34303736" w:rsidR="000D18B4" w:rsidRDefault="000D18B4" w:rsidP="000D18B4">
      <w:r>
        <w:t>Based on</w:t>
      </w:r>
      <w:r w:rsidRPr="00A35E8C">
        <w:t xml:space="preserve"> the model, and in consultation with the Expert Reference Group, the Taskforce identified priority issues </w:t>
      </w:r>
      <w:r w:rsidR="00E3219B">
        <w:t>that</w:t>
      </w:r>
      <w:r w:rsidRPr="00A35E8C">
        <w:t xml:space="preserve">, if </w:t>
      </w:r>
      <w:r>
        <w:t>addressed, would provide the greatest</w:t>
      </w:r>
      <w:r w:rsidRPr="00A35E8C">
        <w:t xml:space="preserve"> </w:t>
      </w:r>
      <w:r w:rsidR="00E3219B">
        <w:t>improvements</w:t>
      </w:r>
      <w:r w:rsidR="00E3219B" w:rsidRPr="00A35E8C">
        <w:t xml:space="preserve"> </w:t>
      </w:r>
      <w:r w:rsidRPr="00A35E8C">
        <w:t xml:space="preserve">for </w:t>
      </w:r>
      <w:r>
        <w:t xml:space="preserve">older Queenslanders </w:t>
      </w:r>
      <w:r w:rsidRPr="00A35E8C">
        <w:t>and their</w:t>
      </w:r>
      <w:r>
        <w:t xml:space="preserve"> ability</w:t>
      </w:r>
      <w:r w:rsidRPr="00A35E8C">
        <w:t xml:space="preserve"> to adapt and transition. </w:t>
      </w:r>
      <w:r>
        <w:t>The Taskforce concentrated its efforts on these priority issues.</w:t>
      </w:r>
    </w:p>
    <w:p w14:paraId="3635EE46" w14:textId="25DCCE0B" w:rsidR="000D18B4" w:rsidRDefault="000D18B4" w:rsidP="000D18B4">
      <w:r>
        <w:t>The model was also used as a tool and framework for discussion about pathways, possible solutions and recommendations.</w:t>
      </w:r>
    </w:p>
    <w:p w14:paraId="4D835D56" w14:textId="77777777" w:rsidR="00E960F3" w:rsidRDefault="00E960F3" w:rsidP="00E960F3">
      <w:r>
        <w:t xml:space="preserve">Four priority areas emerged for further examination: </w:t>
      </w:r>
    </w:p>
    <w:p w14:paraId="43A08D20" w14:textId="77777777" w:rsidR="00E960F3" w:rsidRDefault="00E960F3" w:rsidP="00E960F3">
      <w:pPr>
        <w:pStyle w:val="ListParagraph"/>
        <w:numPr>
          <w:ilvl w:val="0"/>
          <w:numId w:val="18"/>
        </w:numPr>
      </w:pPr>
      <w:r>
        <w:t>individual resilience</w:t>
      </w:r>
    </w:p>
    <w:p w14:paraId="0152D926" w14:textId="77777777" w:rsidR="00E960F3" w:rsidRDefault="00E960F3" w:rsidP="00E960F3">
      <w:pPr>
        <w:pStyle w:val="ListParagraph"/>
        <w:numPr>
          <w:ilvl w:val="0"/>
          <w:numId w:val="18"/>
        </w:numPr>
      </w:pPr>
      <w:r>
        <w:t>home resilience</w:t>
      </w:r>
    </w:p>
    <w:p w14:paraId="62613615" w14:textId="77777777" w:rsidR="00E960F3" w:rsidRDefault="00E960F3" w:rsidP="00E960F3">
      <w:pPr>
        <w:pStyle w:val="ListParagraph"/>
        <w:numPr>
          <w:ilvl w:val="0"/>
          <w:numId w:val="18"/>
        </w:numPr>
      </w:pPr>
      <w:r>
        <w:t>suitable housing options</w:t>
      </w:r>
    </w:p>
    <w:p w14:paraId="4664B512" w14:textId="77777777" w:rsidR="00E960F3" w:rsidRDefault="00E960F3" w:rsidP="00E960F3">
      <w:pPr>
        <w:pStyle w:val="ListParagraph"/>
        <w:numPr>
          <w:ilvl w:val="0"/>
          <w:numId w:val="18"/>
        </w:numPr>
      </w:pPr>
      <w:r>
        <w:t>suitable local community services.</w:t>
      </w:r>
    </w:p>
    <w:p w14:paraId="208358FF" w14:textId="0884E7C1" w:rsidR="00E960F3" w:rsidRDefault="00E960F3" w:rsidP="00E960F3">
      <w:r>
        <w:t xml:space="preserve">This report is structured around examining each priority area and includes a discussion of the issues, a vision of what success may look like and Taskforce recommendations.  </w:t>
      </w:r>
    </w:p>
    <w:p w14:paraId="28CA39C7" w14:textId="77777777" w:rsidR="00244CC3" w:rsidRDefault="00244CC3" w:rsidP="00E960F3"/>
    <w:p w14:paraId="13681722" w14:textId="149D534C" w:rsidR="00E960F3" w:rsidRPr="00244CC3" w:rsidRDefault="00E960F3" w:rsidP="00244CC3">
      <w:pPr>
        <w:rPr>
          <w:b/>
        </w:rPr>
        <w:sectPr w:rsidR="00E960F3" w:rsidRPr="00244CC3" w:rsidSect="00E960F3">
          <w:footerReference w:type="default" r:id="rId8"/>
          <w:pgSz w:w="11906" w:h="16838"/>
          <w:pgMar w:top="851" w:right="1440" w:bottom="1440" w:left="1134" w:header="708" w:footer="708" w:gutter="0"/>
          <w:pgNumType w:start="1"/>
          <w:cols w:space="708"/>
          <w:docGrid w:linePitch="360"/>
        </w:sectPr>
      </w:pPr>
      <w:r w:rsidRPr="005169D3">
        <w:rPr>
          <w:noProof/>
          <w:lang w:eastAsia="en-AU"/>
        </w:rPr>
        <mc:AlternateContent>
          <mc:Choice Requires="wpg">
            <w:drawing>
              <wp:anchor distT="0" distB="0" distL="114300" distR="114300" simplePos="0" relativeHeight="251664384" behindDoc="0" locked="0" layoutInCell="1" allowOverlap="1" wp14:anchorId="4F61C51B" wp14:editId="7402EC3F">
                <wp:simplePos x="0" y="0"/>
                <wp:positionH relativeFrom="column">
                  <wp:posOffset>-300990</wp:posOffset>
                </wp:positionH>
                <wp:positionV relativeFrom="paragraph">
                  <wp:posOffset>368061</wp:posOffset>
                </wp:positionV>
                <wp:extent cx="6750050" cy="3860800"/>
                <wp:effectExtent l="0" t="0" r="12700" b="25400"/>
                <wp:wrapTopAndBottom/>
                <wp:docPr id="6" name="Group 59"/>
                <wp:cNvGraphicFramePr/>
                <a:graphic xmlns:a="http://schemas.openxmlformats.org/drawingml/2006/main">
                  <a:graphicData uri="http://schemas.microsoft.com/office/word/2010/wordprocessingGroup">
                    <wpg:wgp>
                      <wpg:cNvGrpSpPr/>
                      <wpg:grpSpPr>
                        <a:xfrm>
                          <a:off x="0" y="0"/>
                          <a:ext cx="6750050" cy="3860800"/>
                          <a:chOff x="0" y="-515"/>
                          <a:chExt cx="8551679" cy="3992254"/>
                        </a:xfrm>
                      </wpg:grpSpPr>
                      <wps:wsp>
                        <wps:cNvPr id="8" name="Straight Connector 8"/>
                        <wps:cNvCnPr/>
                        <wps:spPr>
                          <a:xfrm flipV="1">
                            <a:off x="2013084" y="2026417"/>
                            <a:ext cx="3638149" cy="37793"/>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 name="Group 10"/>
                        <wpg:cNvGrpSpPr/>
                        <wpg:grpSpPr>
                          <a:xfrm>
                            <a:off x="0" y="-515"/>
                            <a:ext cx="8551679" cy="3992254"/>
                            <a:chOff x="0" y="-515"/>
                            <a:chExt cx="8551679" cy="3992254"/>
                          </a:xfrm>
                        </wpg:grpSpPr>
                        <wps:wsp>
                          <wps:cNvPr id="11" name="TextBox 8"/>
                          <wps:cNvSpPr txBox="1"/>
                          <wps:spPr>
                            <a:xfrm>
                              <a:off x="2628886" y="1133441"/>
                              <a:ext cx="2479937" cy="623966"/>
                            </a:xfrm>
                            <a:prstGeom prst="rect">
                              <a:avLst/>
                            </a:prstGeom>
                            <a:solidFill>
                              <a:schemeClr val="tx2">
                                <a:lumMod val="20000"/>
                                <a:lumOff val="80000"/>
                              </a:schemeClr>
                            </a:solidFill>
                            <a:ln>
                              <a:solidFill>
                                <a:schemeClr val="tx1"/>
                              </a:solidFill>
                            </a:ln>
                          </wps:spPr>
                          <wps:txbx>
                            <w:txbxContent>
                              <w:p w14:paraId="5E707EF4" w14:textId="77777777" w:rsidR="00E960F3" w:rsidRDefault="00E960F3" w:rsidP="00E960F3">
                                <w:pPr>
                                  <w:pStyle w:val="NormalWeb"/>
                                  <w:spacing w:before="0" w:beforeAutospacing="0" w:after="0" w:afterAutospacing="0"/>
                                  <w:jc w:val="center"/>
                                </w:pPr>
                                <w:r w:rsidRPr="00E960F3">
                                  <w:rPr>
                                    <w:rFonts w:asciiTheme="minorHAnsi" w:hAnsi="Calibri" w:cstheme="minorBidi"/>
                                    <w:color w:val="000000" w:themeColor="text1"/>
                                    <w:kern w:val="24"/>
                                    <w:sz w:val="28"/>
                                    <w:szCs w:val="28"/>
                                  </w:rPr>
                                  <w:t>Individual’s propensity to explore transition</w:t>
                                </w:r>
                                <w:r>
                                  <w:rPr>
                                    <w:rFonts w:asciiTheme="minorHAnsi" w:hAnsi="Calibri" w:cstheme="minorBidi"/>
                                    <w:color w:val="000000" w:themeColor="text1"/>
                                    <w:kern w:val="24"/>
                                    <w:sz w:val="32"/>
                                    <w:szCs w:val="32"/>
                                  </w:rPr>
                                  <w:t xml:space="preserve"> options</w:t>
                                </w:r>
                              </w:p>
                            </w:txbxContent>
                          </wps:txbx>
                          <wps:bodyPr wrap="square" lIns="128016" tIns="64008" rIns="128016" bIns="64008" rtlCol="0">
                            <a:noAutofit/>
                          </wps:bodyPr>
                        </wps:wsp>
                        <wpg:grpSp>
                          <wpg:cNvPr id="12" name="Group 12"/>
                          <wpg:cNvGrpSpPr/>
                          <wpg:grpSpPr>
                            <a:xfrm>
                              <a:off x="0" y="-515"/>
                              <a:ext cx="8551679" cy="3992254"/>
                              <a:chOff x="0" y="-515"/>
                              <a:chExt cx="8551679" cy="3992254"/>
                            </a:xfrm>
                          </wpg:grpSpPr>
                          <wps:wsp>
                            <wps:cNvPr id="13" name="Straight Arrow Connector 13"/>
                            <wps:cNvCnPr/>
                            <wps:spPr>
                              <a:xfrm flipH="1">
                                <a:off x="5207911" y="2026417"/>
                                <a:ext cx="443322" cy="58097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2013084" y="2064210"/>
                                <a:ext cx="518298" cy="54317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5109429" y="1445446"/>
                                <a:ext cx="541804" cy="58097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2013084" y="1445446"/>
                                <a:ext cx="616782" cy="61876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3869647" y="1756300"/>
                                <a:ext cx="1" cy="54023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 name="TextBox 15"/>
                            <wps:cNvSpPr txBox="1"/>
                            <wps:spPr>
                              <a:xfrm>
                                <a:off x="2531499" y="2296245"/>
                                <a:ext cx="2676796" cy="633491"/>
                              </a:xfrm>
                              <a:prstGeom prst="rect">
                                <a:avLst/>
                              </a:prstGeom>
                              <a:solidFill>
                                <a:schemeClr val="accent2">
                                  <a:lumMod val="20000"/>
                                  <a:lumOff val="80000"/>
                                </a:schemeClr>
                              </a:solidFill>
                              <a:ln w="9525">
                                <a:solidFill>
                                  <a:schemeClr val="tx1"/>
                                </a:solidFill>
                              </a:ln>
                            </wps:spPr>
                            <wps:txbx>
                              <w:txbxContent>
                                <w:p w14:paraId="1CC3338E" w14:textId="77777777" w:rsidR="00E960F3" w:rsidRPr="00E960F3" w:rsidRDefault="00E960F3" w:rsidP="00E960F3">
                                  <w:pPr>
                                    <w:pStyle w:val="NormalWeb"/>
                                    <w:spacing w:before="0" w:beforeAutospacing="0" w:after="0" w:afterAutospacing="0"/>
                                    <w:jc w:val="center"/>
                                    <w:rPr>
                                      <w:sz w:val="28"/>
                                      <w:szCs w:val="28"/>
                                    </w:rPr>
                                  </w:pPr>
                                  <w:r w:rsidRPr="00E960F3">
                                    <w:rPr>
                                      <w:rFonts w:asciiTheme="minorHAnsi" w:hAnsi="Calibri" w:cstheme="minorBidi"/>
                                      <w:b/>
                                      <w:bCs/>
                                      <w:color w:val="000000" w:themeColor="text1"/>
                                      <w:kern w:val="24"/>
                                      <w:sz w:val="28"/>
                                      <w:szCs w:val="28"/>
                                    </w:rPr>
                                    <w:t>Propensity to adapt and transition</w:t>
                                  </w:r>
                                </w:p>
                              </w:txbxContent>
                            </wps:txbx>
                            <wps:bodyPr wrap="square" lIns="128016" tIns="64008" rIns="128016" bIns="64008" rtlCol="0">
                              <a:noAutofit/>
                            </wps:bodyPr>
                          </wps:wsp>
                          <wps:wsp>
                            <wps:cNvPr id="19" name="TextBox 289"/>
                            <wps:cNvSpPr txBox="1"/>
                            <wps:spPr>
                              <a:xfrm>
                                <a:off x="2486087" y="3440545"/>
                                <a:ext cx="3047531" cy="551194"/>
                              </a:xfrm>
                              <a:prstGeom prst="rect">
                                <a:avLst/>
                              </a:prstGeom>
                              <a:solidFill>
                                <a:srgbClr val="FFFFCC"/>
                              </a:solidFill>
                            </wps:spPr>
                            <wps:style>
                              <a:lnRef idx="2">
                                <a:schemeClr val="dk1"/>
                              </a:lnRef>
                              <a:fillRef idx="1">
                                <a:schemeClr val="lt1"/>
                              </a:fillRef>
                              <a:effectRef idx="0">
                                <a:schemeClr val="dk1"/>
                              </a:effectRef>
                              <a:fontRef idx="minor">
                                <a:schemeClr val="dk1"/>
                              </a:fontRef>
                            </wps:style>
                            <wps:txbx>
                              <w:txbxContent>
                                <w:p w14:paraId="079D8B0F" w14:textId="77777777" w:rsidR="00E960F3" w:rsidRPr="00E960F3" w:rsidRDefault="00E960F3" w:rsidP="00E960F3">
                                  <w:pPr>
                                    <w:pStyle w:val="NormalWeb"/>
                                    <w:spacing w:before="0" w:beforeAutospacing="0" w:after="0" w:afterAutospacing="0"/>
                                    <w:jc w:val="center"/>
                                    <w:rPr>
                                      <w:sz w:val="40"/>
                                      <w:szCs w:val="40"/>
                                    </w:rPr>
                                  </w:pPr>
                                  <w:r w:rsidRPr="00E960F3">
                                    <w:rPr>
                                      <w:rFonts w:asciiTheme="minorHAnsi" w:hAnsi="Calibri" w:cstheme="minorBidi"/>
                                      <w:b/>
                                      <w:bCs/>
                                      <w:color w:val="000000" w:themeColor="dark1"/>
                                      <w:kern w:val="24"/>
                                      <w:sz w:val="40"/>
                                      <w:szCs w:val="40"/>
                                    </w:rPr>
                                    <w:t>Active Ageing</w:t>
                                  </w:r>
                                </w:p>
                              </w:txbxContent>
                            </wps:txbx>
                            <wps:bodyPr wrap="square" rtlCol="0">
                              <a:noAutofit/>
                            </wps:bodyPr>
                          </wps:wsp>
                          <wpg:grpSp>
                            <wpg:cNvPr id="20" name="Group 20"/>
                            <wpg:cNvGrpSpPr/>
                            <wpg:grpSpPr>
                              <a:xfrm>
                                <a:off x="0" y="-515"/>
                                <a:ext cx="8551679" cy="2368602"/>
                                <a:chOff x="0" y="-515"/>
                                <a:chExt cx="8551679" cy="2368602"/>
                              </a:xfrm>
                            </wpg:grpSpPr>
                            <wps:wsp>
                              <wps:cNvPr id="21" name="TextBox 9"/>
                              <wps:cNvSpPr txBox="1"/>
                              <wps:spPr>
                                <a:xfrm>
                                  <a:off x="5206557" y="723887"/>
                                  <a:ext cx="1808705" cy="562370"/>
                                </a:xfrm>
                                <a:prstGeom prst="rect">
                                  <a:avLst/>
                                </a:prstGeom>
                                <a:noFill/>
                                <a:ln>
                                  <a:solidFill>
                                    <a:schemeClr val="tx1"/>
                                  </a:solidFill>
                                </a:ln>
                              </wps:spPr>
                              <wps:txbx>
                                <w:txbxContent>
                                  <w:p w14:paraId="41EC61F7"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text1"/>
                                        <w:kern w:val="24"/>
                                        <w:sz w:val="20"/>
                                        <w:szCs w:val="20"/>
                                      </w:rPr>
                                      <w:t>Suitable local community services</w:t>
                                    </w:r>
                                  </w:p>
                                </w:txbxContent>
                              </wps:txbx>
                              <wps:bodyPr wrap="square" lIns="128016" tIns="64008" rIns="128016" bIns="64008" rtlCol="0">
                                <a:noAutofit/>
                              </wps:bodyPr>
                            </wps:wsp>
                            <wps:wsp>
                              <wps:cNvPr id="22" name="TextBox 18"/>
                              <wps:cNvSpPr txBox="1"/>
                              <wps:spPr>
                                <a:xfrm>
                                  <a:off x="7113199" y="736923"/>
                                  <a:ext cx="1438480" cy="562370"/>
                                </a:xfrm>
                                <a:prstGeom prst="rect">
                                  <a:avLst/>
                                </a:prstGeom>
                                <a:noFill/>
                                <a:ln>
                                  <a:solidFill>
                                    <a:schemeClr val="tx1"/>
                                  </a:solidFill>
                                </a:ln>
                              </wps:spPr>
                              <wps:txbx>
                                <w:txbxContent>
                                  <w:p w14:paraId="24771E51"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text1"/>
                                        <w:kern w:val="24"/>
                                        <w:sz w:val="20"/>
                                        <w:szCs w:val="20"/>
                                      </w:rPr>
                                      <w:t>Suitable housing options</w:t>
                                    </w:r>
                                  </w:p>
                                </w:txbxContent>
                              </wps:txbx>
                              <wps:bodyPr wrap="square" lIns="128016" tIns="64008" rIns="128016" bIns="64008" rtlCol="0">
                                <a:noAutofit/>
                              </wps:bodyPr>
                            </wps:wsp>
                            <wps:wsp>
                              <wps:cNvPr id="23" name="Straight Arrow Connector 23"/>
                              <wps:cNvCnPr/>
                              <wps:spPr>
                                <a:xfrm>
                                  <a:off x="6112061" y="1285143"/>
                                  <a:ext cx="514890" cy="44888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TextBox 13"/>
                              <wps:cNvSpPr txBox="1"/>
                              <wps:spPr>
                                <a:xfrm>
                                  <a:off x="5650607" y="1733415"/>
                                  <a:ext cx="1951460" cy="596914"/>
                                </a:xfrm>
                                <a:prstGeom prst="rect">
                                  <a:avLst/>
                                </a:prstGeom>
                                <a:solidFill>
                                  <a:schemeClr val="accent3">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08D2DE40" w14:textId="77777777" w:rsidR="00E960F3" w:rsidRPr="00E960F3" w:rsidRDefault="00E960F3" w:rsidP="00E960F3">
                                    <w:pPr>
                                      <w:pStyle w:val="NormalWeb"/>
                                      <w:spacing w:before="0" w:beforeAutospacing="0" w:after="0" w:afterAutospacing="0"/>
                                      <w:jc w:val="center"/>
                                      <w:rPr>
                                        <w:sz w:val="28"/>
                                        <w:szCs w:val="28"/>
                                      </w:rPr>
                                    </w:pPr>
                                    <w:r w:rsidRPr="00E960F3">
                                      <w:rPr>
                                        <w:rFonts w:asciiTheme="minorHAnsi" w:hAnsi="Calibri" w:cstheme="minorBidi"/>
                                        <w:color w:val="000000" w:themeColor="dark1"/>
                                        <w:kern w:val="24"/>
                                        <w:sz w:val="28"/>
                                        <w:szCs w:val="28"/>
                                      </w:rPr>
                                      <w:t>Suitable options for transitioning</w:t>
                                    </w:r>
                                  </w:p>
                                </w:txbxContent>
                              </wps:txbx>
                              <wps:bodyPr wrap="square" rtlCol="0">
                                <a:noAutofit/>
                              </wps:bodyPr>
                            </wps:wsp>
                            <wps:wsp>
                              <wps:cNvPr id="25" name="Straight Arrow Connector 25"/>
                              <wps:cNvCnPr/>
                              <wps:spPr>
                                <a:xfrm flipH="1">
                                  <a:off x="6899060" y="1298364"/>
                                  <a:ext cx="935017" cy="43566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4139868" y="523221"/>
                                  <a:ext cx="473792" cy="61481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TextBox 116"/>
                              <wps:cNvSpPr txBox="1"/>
                              <wps:spPr>
                                <a:xfrm>
                                  <a:off x="2509642" y="-515"/>
                                  <a:ext cx="1286579" cy="53531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CA4E20B" w14:textId="77777777" w:rsidR="00E960F3" w:rsidRPr="00E960F3" w:rsidRDefault="00E960F3" w:rsidP="00E960F3">
                                    <w:pPr>
                                      <w:pStyle w:val="NormalWeb"/>
                                      <w:spacing w:before="0" w:beforeAutospacing="0" w:after="0" w:afterAutospacing="0"/>
                                      <w:jc w:val="center"/>
                                    </w:pPr>
                                    <w:r w:rsidRPr="00E960F3">
                                      <w:rPr>
                                        <w:rFonts w:asciiTheme="minorHAnsi" w:hAnsi="Calibri" w:cstheme="minorBidi"/>
                                        <w:b/>
                                        <w:bCs/>
                                        <w:color w:val="000000" w:themeColor="dark1"/>
                                        <w:kern w:val="24"/>
                                      </w:rPr>
                                      <w:t>Individual Resilience</w:t>
                                    </w:r>
                                  </w:p>
                                </w:txbxContent>
                              </wps:txbx>
                              <wps:bodyPr wrap="square" rtlCol="0">
                                <a:noAutofit/>
                              </wps:bodyPr>
                            </wps:wsp>
                            <wps:wsp>
                              <wps:cNvPr id="28" name="TextBox 117"/>
                              <wps:cNvSpPr txBox="1"/>
                              <wps:spPr>
                                <a:xfrm>
                                  <a:off x="3974202" y="-197"/>
                                  <a:ext cx="1279594" cy="53531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C807A96" w14:textId="77777777" w:rsidR="00E960F3" w:rsidRPr="00E960F3" w:rsidRDefault="00E960F3" w:rsidP="00E960F3">
                                    <w:pPr>
                                      <w:pStyle w:val="NormalWeb"/>
                                      <w:spacing w:before="0" w:beforeAutospacing="0" w:after="0" w:afterAutospacing="0"/>
                                      <w:jc w:val="center"/>
                                    </w:pPr>
                                    <w:r w:rsidRPr="00E960F3">
                                      <w:rPr>
                                        <w:rFonts w:asciiTheme="minorHAnsi" w:hAnsi="Calibri" w:cstheme="minorBidi"/>
                                        <w:b/>
                                        <w:bCs/>
                                        <w:color w:val="000000" w:themeColor="dark1"/>
                                        <w:kern w:val="24"/>
                                      </w:rPr>
                                      <w:t>Home Resilience</w:t>
                                    </w:r>
                                  </w:p>
                                </w:txbxContent>
                              </wps:txbx>
                              <wps:bodyPr wrap="square" rtlCol="0">
                                <a:noAutofit/>
                              </wps:bodyPr>
                            </wps:wsp>
                            <wps:wsp>
                              <wps:cNvPr id="29" name="Straight Arrow Connector 29"/>
                              <wps:cNvCnPr/>
                              <wps:spPr>
                                <a:xfrm>
                                  <a:off x="3152094" y="523220"/>
                                  <a:ext cx="560089" cy="61481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 name="TextBox 109"/>
                              <wps:cNvSpPr txBox="1"/>
                              <wps:spPr>
                                <a:xfrm>
                                  <a:off x="360907" y="1771173"/>
                                  <a:ext cx="1653629" cy="596914"/>
                                </a:xfrm>
                                <a:prstGeom prst="rect">
                                  <a:avLst/>
                                </a:prstGeom>
                                <a:solidFill>
                                  <a:schemeClr val="accent4">
                                    <a:lumMod val="20000"/>
                                    <a:lumOff val="80000"/>
                                  </a:schemeClr>
                                </a:solidFill>
                                <a:ln w="9525"/>
                              </wps:spPr>
                              <wps:style>
                                <a:lnRef idx="2">
                                  <a:schemeClr val="dk1"/>
                                </a:lnRef>
                                <a:fillRef idx="1">
                                  <a:schemeClr val="lt1"/>
                                </a:fillRef>
                                <a:effectRef idx="0">
                                  <a:schemeClr val="dk1"/>
                                </a:effectRef>
                                <a:fontRef idx="minor">
                                  <a:schemeClr val="dk1"/>
                                </a:fontRef>
                              </wps:style>
                              <wps:txbx>
                                <w:txbxContent>
                                  <w:p w14:paraId="67EBCE57" w14:textId="77777777" w:rsidR="00E960F3" w:rsidRPr="00E960F3" w:rsidRDefault="00E960F3" w:rsidP="00E960F3">
                                    <w:pPr>
                                      <w:pStyle w:val="NormalWeb"/>
                                      <w:spacing w:before="0" w:beforeAutospacing="0" w:after="0" w:afterAutospacing="0"/>
                                      <w:jc w:val="center"/>
                                      <w:rPr>
                                        <w:sz w:val="28"/>
                                        <w:szCs w:val="28"/>
                                      </w:rPr>
                                    </w:pPr>
                                    <w:r w:rsidRPr="00E960F3">
                                      <w:rPr>
                                        <w:rFonts w:asciiTheme="minorHAnsi" w:hAnsi="Calibri" w:cstheme="minorBidi"/>
                                        <w:color w:val="000000" w:themeColor="dark1"/>
                                        <w:kern w:val="24"/>
                                        <w:sz w:val="28"/>
                                        <w:szCs w:val="28"/>
                                      </w:rPr>
                                      <w:t>Government Policy</w:t>
                                    </w:r>
                                  </w:p>
                                </w:txbxContent>
                              </wps:txbx>
                              <wps:bodyPr wrap="square" rtlCol="0">
                                <a:noAutofit/>
                              </wps:bodyPr>
                            </wps:wsp>
                            <wps:wsp>
                              <wps:cNvPr id="31" name="TextBox 328"/>
                              <wps:cNvSpPr txBox="1"/>
                              <wps:spPr>
                                <a:xfrm>
                                  <a:off x="0" y="670981"/>
                                  <a:ext cx="720089" cy="31813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C57D790"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dark1"/>
                                        <w:kern w:val="24"/>
                                        <w:sz w:val="20"/>
                                        <w:szCs w:val="20"/>
                                      </w:rPr>
                                      <w:t>Local</w:t>
                                    </w:r>
                                  </w:p>
                                </w:txbxContent>
                              </wps:txbx>
                              <wps:bodyPr wrap="square" rtlCol="0">
                                <a:noAutofit/>
                              </wps:bodyPr>
                            </wps:wsp>
                            <wps:wsp>
                              <wps:cNvPr id="64" name="TextBox 189"/>
                              <wps:cNvSpPr txBox="1"/>
                              <wps:spPr>
                                <a:xfrm>
                                  <a:off x="830668" y="670980"/>
                                  <a:ext cx="711199" cy="31813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0F5A819"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dark1"/>
                                        <w:kern w:val="24"/>
                                        <w:sz w:val="20"/>
                                        <w:szCs w:val="20"/>
                                      </w:rPr>
                                      <w:t>State</w:t>
                                    </w:r>
                                  </w:p>
                                </w:txbxContent>
                              </wps:txbx>
                              <wps:bodyPr wrap="square" rtlCol="0">
                                <a:noAutofit/>
                              </wps:bodyPr>
                            </wps:wsp>
                            <wps:wsp>
                              <wps:cNvPr id="65" name="TextBox 190"/>
                              <wps:cNvSpPr txBox="1"/>
                              <wps:spPr>
                                <a:xfrm>
                                  <a:off x="1680134" y="684913"/>
                                  <a:ext cx="864234" cy="31813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B3E996D"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dark1"/>
                                        <w:kern w:val="24"/>
                                        <w:sz w:val="20"/>
                                        <w:szCs w:val="20"/>
                                      </w:rPr>
                                      <w:t>Federal</w:t>
                                    </w:r>
                                  </w:p>
                                </w:txbxContent>
                              </wps:txbx>
                              <wps:bodyPr wrap="square" rtlCol="0">
                                <a:noAutofit/>
                              </wps:bodyPr>
                            </wps:wsp>
                            <wps:wsp>
                              <wps:cNvPr id="66" name="Straight Arrow Connector 66"/>
                              <wps:cNvCnPr/>
                              <wps:spPr>
                                <a:xfrm>
                                  <a:off x="360040" y="978858"/>
                                  <a:ext cx="552388" cy="79515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flipH="1">
                                  <a:off x="1548555" y="992792"/>
                                  <a:ext cx="563718" cy="7850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1186561" y="978857"/>
                                  <a:ext cx="1" cy="79296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69" name="Down Arrow 69"/>
                            <wps:cNvSpPr/>
                            <wps:spPr>
                              <a:xfrm>
                                <a:off x="3830311" y="2918244"/>
                                <a:ext cx="418316" cy="527487"/>
                              </a:xfrm>
                              <a:prstGeom prst="downArrow">
                                <a:avLst/>
                              </a:prstGeom>
                              <a:ln w="12700"/>
                            </wps:spPr>
                            <wps:style>
                              <a:lnRef idx="2">
                                <a:schemeClr val="dk1">
                                  <a:shade val="50000"/>
                                </a:schemeClr>
                              </a:lnRef>
                              <a:fillRef idx="1">
                                <a:schemeClr val="dk1"/>
                              </a:fillRef>
                              <a:effectRef idx="0">
                                <a:schemeClr val="dk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4F61C51B" id="Group 59" o:spid="_x0000_s1026" style="position:absolute;margin-left:-23.7pt;margin-top:29pt;width:531.5pt;height:304pt;z-index:251664384;mso-width-relative:margin;mso-height-relative:margin" coordorigin=",-5" coordsize="85516,3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">
                <v:line id="Straight Connector 8" o:spid="_x0000_s1027" style="position:absolute;flip:y;visibility:visible;mso-wrap-style:square" from="20130,20264" to="56512,2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ntcEAAADaAAAADwAAAGRycy9kb3ducmV2LnhtbERPy2rCQBTdF/yH4Qru6sQqVaKjSEEM&#10;Cm19LFxeMtckmLkTM6OJfr2zKHR5OO/ZojWluFPtCssKBv0IBHFqdcGZguNh9T4B4TyyxtIyKXiQ&#10;g8W88zbDWNuGd3Tf+0yEEHYxKsi9r2IpXZqTQde3FXHgzrY26AOsM6lrbEK4KeVHFH1KgwWHhhwr&#10;+sopvexvRkGS8Gbz5NXPafB7Xfthsf0eNWOlet12OQXhqfX/4j93ohWEreFKu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2e1wQAAANoAAAAPAAAAAAAAAAAAAAAA&#10;AKECAABkcnMvZG93bnJldi54bWxQSwUGAAAAAAQABAD5AAAAjwMAAAAA&#10;" strokecolor="#4579b8 [3044]"/>
                <v:group id="Group 10" o:spid="_x0000_s1028" style="position:absolute;top:-5;width:85516;height:39922" coordorigin=",-5" coordsize="85516,3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Box 8" o:spid="_x0000_s1029" type="#_x0000_t202" style="position:absolute;left:26288;top:11334;width:24800;height:6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nCsQA&#10;AADbAAAADwAAAGRycy9kb3ducmV2LnhtbERPS2vCQBC+C/6HZQQvYjaxKJK6ihSqtT35OOQ4ZqdJ&#10;MDsbstuY9td3C0Jv8/E9Z7XpTS06al1lWUESxSCIc6srLhRczq/TJQjnkTXWlknBNznYrIeDFaba&#10;3vlI3ckXIoSwS1FB6X2TSunykgy6yDbEgfu0rUEfYFtI3eI9hJtazuJ4IQ1WHBpKbOilpPx2+jIK&#10;Dv1id8wmibu+H3ZP86zbX34+9kqNR/32GYSn3v+LH+43HeYn8PdLO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wrEAAAA2wAAAA8AAAAAAAAAAAAAAAAAmAIAAGRycy9k&#10;b3ducmV2LnhtbFBLBQYAAAAABAAEAPUAAACJAwAAAAA=&#10;" fillcolor="#c6d9f1 [671]" strokecolor="black [3213]">
                    <v:textbox inset="10.08pt,5.04pt,10.08pt,5.04pt">
                      <w:txbxContent>
                        <w:p w14:paraId="5E707EF4" w14:textId="77777777" w:rsidR="00E960F3" w:rsidRDefault="00E960F3" w:rsidP="00E960F3">
                          <w:pPr>
                            <w:pStyle w:val="NormalWeb"/>
                            <w:spacing w:before="0" w:beforeAutospacing="0" w:after="0" w:afterAutospacing="0"/>
                            <w:jc w:val="center"/>
                          </w:pPr>
                          <w:r w:rsidRPr="00E960F3">
                            <w:rPr>
                              <w:rFonts w:asciiTheme="minorHAnsi" w:hAnsi="Calibri" w:cstheme="minorBidi"/>
                              <w:color w:val="000000" w:themeColor="text1"/>
                              <w:kern w:val="24"/>
                              <w:sz w:val="28"/>
                              <w:szCs w:val="28"/>
                            </w:rPr>
                            <w:t>Individual’s propensity to explore transition</w:t>
                          </w:r>
                          <w:r>
                            <w:rPr>
                              <w:rFonts w:asciiTheme="minorHAnsi" w:hAnsi="Calibri" w:cstheme="minorBidi"/>
                              <w:color w:val="000000" w:themeColor="text1"/>
                              <w:kern w:val="24"/>
                              <w:sz w:val="32"/>
                              <w:szCs w:val="32"/>
                            </w:rPr>
                            <w:t xml:space="preserve"> options</w:t>
                          </w:r>
                        </w:p>
                      </w:txbxContent>
                    </v:textbox>
                  </v:shape>
                  <v:group id="Group 12" o:spid="_x0000_s1030" style="position:absolute;top:-5;width:85516;height:39922" coordorigin=",-5" coordsize="85516,39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13" o:spid="_x0000_s1031" type="#_x0000_t32" style="position:absolute;left:52079;top:20264;width:4433;height:58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fBsAAAADbAAAADwAAAGRycy9kb3ducmV2LnhtbERPS4vCMBC+L/gfwgje1lSFVatRRPC1&#10;N6ug3oZmbIvNpDRRu//eLAje5uN7znTemFI8qHaFZQW9bgSCOLW64EzB8bD6HoFwHlljaZkU/JGD&#10;+az1NcVY2yfv6ZH4TIQQdjEqyL2vYildmpNB17UVceCutjboA6wzqWt8hnBTyn4U/UiDBYeGHCta&#10;5pTekrtRMJSnTTRKt/3eeHA8X5aJ3f2urVKddrOYgPDU+I/47d7qMH8A/7+EA+T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43wbAAAAA2wAAAA8AAAAAAAAAAAAAAAAA&#10;oQIAAGRycy9kb3ducmV2LnhtbFBLBQYAAAAABAAEAPkAAACOAwAAAAA=&#10;" strokecolor="black [3213]">
                      <v:stroke endarrow="block"/>
                    </v:shape>
                    <v:shape id="Straight Arrow Connector 14" o:spid="_x0000_s1032" type="#_x0000_t32" style="position:absolute;left:20130;top:20642;width:5183;height:5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elMMAAADbAAAADwAAAGRycy9kb3ducmV2LnhtbERP30vDMBB+F/wfwg32ZtOJjFGXDZ0I&#10;sqfZbYhvR3M21ebSJVlb/3sjDPZ2H9/PW65H24qefGgcK5hlOQjiyumGawWH/evdAkSIyBpbx6Tg&#10;lwKsV7c3Syy0G/id+jLWIoVwKFCBibErpAyVIYshcx1x4r6ctxgT9LXUHocUblt5n+dzabHh1GCw&#10;o42h6qc8WwVtvx1Ox/P3ybzs+n25+fg0z75TajoZnx5BRBrjVXxxv+k0/wH+f0k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jnpTDAAAA2wAAAA8AAAAAAAAAAAAA&#10;AAAAoQIAAGRycy9kb3ducmV2LnhtbFBLBQYAAAAABAAEAPkAAACRAwAAAAA=&#10;" strokecolor="black [3213]">
                      <v:stroke endarrow="block"/>
                    </v:shape>
                    <v:line id="Straight Connector 15" o:spid="_x0000_s1033" style="position:absolute;visibility:visible;mso-wrap-style:square" from="51094,14454" to="56512,2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line id="Straight Connector 16" o:spid="_x0000_s1034" style="position:absolute;flip:y;visibility:visible;mso-wrap-style:square" from="20130,14454" to="26298,2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yEcMAAADbAAAADwAAAGRycy9kb3ducmV2LnhtbERPS2vCQBC+F/wPywjedOMDLdFVRBCD&#10;hbbaHnocsmMSzM7G7GpSf71bEHqbj+85i1VrSnGj2hWWFQwHEQji1OqCMwXfX9v+KwjnkTWWlknB&#10;LzlYLTsvC4y1bfhAt6PPRAhhF6OC3PsqltKlORl0A1sRB+5ka4M+wDqTusYmhJtSjqJoKg0WHBpy&#10;rGiTU3o+Xo2CJOH9/s7bj5/h52Xnx8Xb+6SZKdXrtus5CE+t/xc/3YkO86fw90s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8hHDAAAA2wAAAA8AAAAAAAAAAAAA&#10;AAAAoQIAAGRycy9kb3ducmV2LnhtbFBLBQYAAAAABAAEAPkAAACRAwAAAAA=&#10;" strokecolor="#4579b8 [3044]"/>
                    <v:shape id="Straight Arrow Connector 17" o:spid="_x0000_s1035" type="#_x0000_t32" style="position:absolute;left:38696;top:17563;width:0;height:54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ZBcAAAADbAAAADwAAAGRycy9kb3ducmV2LnhtbERPTYvCMBC9C/6HMMLeNFVh1WoUEXTV&#10;m1VQb0MztsVmUpqsdv/9RhC8zeN9zmzRmFI8qHaFZQX9XgSCOLW64EzB6bjujkE4j6yxtEwK/sjB&#10;Yt5uzTDW9skHeiQ+EyGEXYwKcu+rWEqX5mTQ9WxFHLibrQ36AOtM6hqfIdyUchBF39JgwaEhx4pW&#10;OaX35NcoGMnzTzROt4P+ZHi6XFeJ3e03VqmvTrOcgvDU+I/47d7qMH8Er1/CAX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D2QXAAAAA2wAAAA8AAAAAAAAAAAAAAAAA&#10;oQIAAGRycy9kb3ducmV2LnhtbFBLBQYAAAAABAAEAPkAAACOAwAAAAA=&#10;" strokecolor="black [3213]">
                      <v:stroke endarrow="block"/>
                    </v:shape>
                    <v:shape id="TextBox 15" o:spid="_x0000_s1036" type="#_x0000_t202" style="position:absolute;left:25314;top:22962;width:26768;height:6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as8QA&#10;AADbAAAADwAAAGRycy9kb3ducmV2LnhtbESPQWsCMRCF70L/Q5hCL6LZ2iK6GkWKQk+F2up53Iyb&#10;pZvJNkl1++87h4K3Gd6b975ZrnvfqgvF1AQ28DguQBFXwTZcG/j82I1moFJGttgGJgO/lGC9uhss&#10;sbThyu902edaSQinEg24nLtS61Q58pjGoSMW7RyixyxrrLWNeJVw3+pJUUy1x4alwWFHL46qr/2P&#10;N/D8fYiOtvF0Os+nT/1uWL8d48aYh/t+swCVqc838//1qxV8gZVfZ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WrPEAAAA2wAAAA8AAAAAAAAAAAAAAAAAmAIAAGRycy9k&#10;b3ducmV2LnhtbFBLBQYAAAAABAAEAPUAAACJAwAAAAA=&#10;" fillcolor="#f2dbdb [661]" strokecolor="black [3213]">
                      <v:textbox inset="10.08pt,5.04pt,10.08pt,5.04pt">
                        <w:txbxContent>
                          <w:p w14:paraId="1CC3338E" w14:textId="77777777" w:rsidR="00E960F3" w:rsidRPr="00E960F3" w:rsidRDefault="00E960F3" w:rsidP="00E960F3">
                            <w:pPr>
                              <w:pStyle w:val="NormalWeb"/>
                              <w:spacing w:before="0" w:beforeAutospacing="0" w:after="0" w:afterAutospacing="0"/>
                              <w:jc w:val="center"/>
                              <w:rPr>
                                <w:sz w:val="28"/>
                                <w:szCs w:val="28"/>
                              </w:rPr>
                            </w:pPr>
                            <w:r w:rsidRPr="00E960F3">
                              <w:rPr>
                                <w:rFonts w:asciiTheme="minorHAnsi" w:hAnsi="Calibri" w:cstheme="minorBidi"/>
                                <w:b/>
                                <w:bCs/>
                                <w:color w:val="000000" w:themeColor="text1"/>
                                <w:kern w:val="24"/>
                                <w:sz w:val="28"/>
                                <w:szCs w:val="28"/>
                              </w:rPr>
                              <w:t>Propensity to adapt and transition</w:t>
                            </w:r>
                          </w:p>
                        </w:txbxContent>
                      </v:textbox>
                    </v:shape>
                    <v:shape id="TextBox 289" o:spid="_x0000_s1037" type="#_x0000_t202" style="position:absolute;left:24860;top:34405;width:30476;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DxMMA&#10;AADbAAAADwAAAGRycy9kb3ducmV2LnhtbESPzarCMBCF94LvEEZwp6kKV61GEeGCG6/4g27HZmyL&#10;zaQ0uVp9eiMI7mY453xzZjqvTSFuVLncsoJeNwJBnFidc6rgsP/tjEA4j6yxsEwKHuRgPms2phhr&#10;e+ct3XY+FQHCLkYFmfdlLKVLMjLourYkDtrFVgZ9WKtU6grvAW4K2Y+iH2kw53Ahw5KWGSXX3b8J&#10;lI1bP85/RznE56rfOx8GxfM0UKrdqhcTEJ5q/zV/0isd6o/h/UsY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CDxMMAAADbAAAADwAAAAAAAAAAAAAAAACYAgAAZHJzL2Rv&#10;d25yZXYueG1sUEsFBgAAAAAEAAQA9QAAAIgDAAAAAA==&#10;" fillcolor="#ffc" strokecolor="black [3200]" strokeweight="2pt">
                      <v:textbox>
                        <w:txbxContent>
                          <w:p w14:paraId="079D8B0F" w14:textId="77777777" w:rsidR="00E960F3" w:rsidRPr="00E960F3" w:rsidRDefault="00E960F3" w:rsidP="00E960F3">
                            <w:pPr>
                              <w:pStyle w:val="NormalWeb"/>
                              <w:spacing w:before="0" w:beforeAutospacing="0" w:after="0" w:afterAutospacing="0"/>
                              <w:jc w:val="center"/>
                              <w:rPr>
                                <w:sz w:val="40"/>
                                <w:szCs w:val="40"/>
                              </w:rPr>
                            </w:pPr>
                            <w:r w:rsidRPr="00E960F3">
                              <w:rPr>
                                <w:rFonts w:asciiTheme="minorHAnsi" w:hAnsi="Calibri" w:cstheme="minorBidi"/>
                                <w:b/>
                                <w:bCs/>
                                <w:color w:val="000000" w:themeColor="dark1"/>
                                <w:kern w:val="24"/>
                                <w:sz w:val="40"/>
                                <w:szCs w:val="40"/>
                              </w:rPr>
                              <w:t>Active Ageing</w:t>
                            </w:r>
                          </w:p>
                        </w:txbxContent>
                      </v:textbox>
                    </v:shape>
                    <v:group id="Group 20" o:spid="_x0000_s1038" style="position:absolute;top:-5;width:85516;height:23685" coordorigin=",-5" coordsize="85516,2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Box 9" o:spid="_x0000_s1039" type="#_x0000_t202" style="position:absolute;left:52065;top:7238;width:18087;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COMMA&#10;AADbAAAADwAAAGRycy9kb3ducmV2LnhtbESPT2vCQBTE7wW/w/IEL8VsYqFodA3SIrT0VCt6fWRf&#10;/mj27ZJdY/rtu4VCj8PM/IbZFKPpxEC9by0ryJIUBHFpdcu1guPXfr4E4QOyxs4yKfgmD8V28rDB&#10;XNs7f9JwCLWIEPY5KmhCcLmUvmzIoE+sI45eZXuDIcq+lrrHe4SbTi7S9FkabDkuNOjopaHyergZ&#10;BZcz396HD+NwWJ1c9YTuNX10Ss2m424NItAY/sN/7TetYJH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ZCOMMAAADbAAAADwAAAAAAAAAAAAAAAACYAgAAZHJzL2Rv&#10;d25yZXYueG1sUEsFBgAAAAAEAAQA9QAAAIgDAAAAAA==&#10;" filled="f" strokecolor="black [3213]">
                        <v:textbox inset="10.08pt,5.04pt,10.08pt,5.04pt">
                          <w:txbxContent>
                            <w:p w14:paraId="41EC61F7"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text1"/>
                                  <w:kern w:val="24"/>
                                  <w:sz w:val="20"/>
                                  <w:szCs w:val="20"/>
                                </w:rPr>
                                <w:t>Suitable local community services</w:t>
                              </w:r>
                            </w:p>
                          </w:txbxContent>
                        </v:textbox>
                      </v:shape>
                      <v:shape id="TextBox 18" o:spid="_x0000_s1040" type="#_x0000_t202" style="position:absolute;left:71131;top:7369;width:14385;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cT8IA&#10;AADbAAAADwAAAGRycy9kb3ducmV2LnhtbESPQWvCQBSE7wX/w/IEL0U3TaFodBWxCC2eqqLXR/aZ&#10;RLNvl+wa03/vCoLHYWa+YWaLztSipcZXlhV8jBIQxLnVFRcK9rv1cAzCB2SNtWVS8E8eFvPe2wwz&#10;bW/8R+02FCJC2GeooAzBZVL6vCSDfmQdcfROtjEYomwKqRu8RbipZZokX9JgxXGhREerkvLL9moU&#10;nI98/W03xmE7ObjTJ7rv5N0pNeh3yymIQF14hZ/tH60gTeHx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NxPwgAAANsAAAAPAAAAAAAAAAAAAAAAAJgCAABkcnMvZG93&#10;bnJldi54bWxQSwUGAAAAAAQABAD1AAAAhwMAAAAA&#10;" filled="f" strokecolor="black [3213]">
                        <v:textbox inset="10.08pt,5.04pt,10.08pt,5.04pt">
                          <w:txbxContent>
                            <w:p w14:paraId="24771E51"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text1"/>
                                  <w:kern w:val="24"/>
                                  <w:sz w:val="20"/>
                                  <w:szCs w:val="20"/>
                                </w:rPr>
                                <w:t>Suitable housing options</w:t>
                              </w:r>
                            </w:p>
                          </w:txbxContent>
                        </v:textbox>
                      </v:shape>
                      <v:shape id="Straight Arrow Connector 23" o:spid="_x0000_s1041" type="#_x0000_t32" style="position:absolute;left:61120;top:12851;width:5149;height:4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MXcUAAADbAAAADwAAAGRycy9kb3ducmV2LnhtbESPzWrDMBCE74W8g9hAbo2cFEp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bMXcUAAADbAAAADwAAAAAAAAAA&#10;AAAAAAChAgAAZHJzL2Rvd25yZXYueG1sUEsFBgAAAAAEAAQA+QAAAJMDAAAAAA==&#10;" strokecolor="black [3213]">
                        <v:stroke endarrow="block"/>
                      </v:shape>
                      <v:shape id="TextBox 13" o:spid="_x0000_s1042" type="#_x0000_t202" style="position:absolute;left:56506;top:17334;width:19514;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X4sEA&#10;AADbAAAADwAAAGRycy9kb3ducmV2LnhtbESP0YrCMBRE3xf8h3AFX5Y1UURKNYquCH1V9wMuzbWt&#10;Nje1ydb690YQfBxm5gyzXPe2Fh21vnKsYTJWIIhzZyouNPyd9j8JCB+QDdaOScODPKxXg68lpsbd&#10;+UDdMRQiQtinqKEMoUml9HlJFv3YNcTRO7vWYoiyLaRp8R7htpZTpebSYsVxocSGfkvKr8d/q6HZ&#10;Zhc0yXenrmqS3HbnbF5tZ1qPhv1mASJQHz7hdzszGqYzeH2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F+LBAAAA2wAAAA8AAAAAAAAAAAAAAAAAmAIAAGRycy9kb3du&#10;cmV2LnhtbFBLBQYAAAAABAAEAPUAAACGAwAAAAA=&#10;" fillcolor="#eaf1dd [662]" strokecolor="black [3200]">
                        <v:textbox>
                          <w:txbxContent>
                            <w:p w14:paraId="08D2DE40" w14:textId="77777777" w:rsidR="00E960F3" w:rsidRPr="00E960F3" w:rsidRDefault="00E960F3" w:rsidP="00E960F3">
                              <w:pPr>
                                <w:pStyle w:val="NormalWeb"/>
                                <w:spacing w:before="0" w:beforeAutospacing="0" w:after="0" w:afterAutospacing="0"/>
                                <w:jc w:val="center"/>
                                <w:rPr>
                                  <w:sz w:val="28"/>
                                  <w:szCs w:val="28"/>
                                </w:rPr>
                              </w:pPr>
                              <w:r w:rsidRPr="00E960F3">
                                <w:rPr>
                                  <w:rFonts w:asciiTheme="minorHAnsi" w:hAnsi="Calibri" w:cstheme="minorBidi"/>
                                  <w:color w:val="000000" w:themeColor="dark1"/>
                                  <w:kern w:val="24"/>
                                  <w:sz w:val="28"/>
                                  <w:szCs w:val="28"/>
                                </w:rPr>
                                <w:t>Suitable options for transitioning</w:t>
                              </w:r>
                            </w:p>
                          </w:txbxContent>
                        </v:textbox>
                      </v:shape>
                      <v:shape id="Straight Arrow Connector 25" o:spid="_x0000_s1043" type="#_x0000_t32" style="position:absolute;left:68990;top:12983;width:9350;height:4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oVMUAAADbAAAADwAAAGRycy9kb3ducmV2LnhtbESPQWvCQBSE7wX/w/KE3nSTFNuYZhUR&#10;2lpvpoJ6e2Rfk2D2bchuNf77bkHocZiZb5h8OZhWXKh3jWUF8TQCQVxa3XClYP/1NklBOI+ssbVM&#10;Cm7kYLkYPeSYaXvlHV0KX4kAYZehgtr7LpPSlTUZdFPbEQfv2/YGfZB9JXWP1wA3rUyi6FkabDgs&#10;1NjRuqbyXPwYBS/y8BGl5SaJ50/742ld2M/tu1XqcTysXkF4Gvx/+N7eaAXJD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EoVMUAAADbAAAADwAAAAAAAAAA&#10;AAAAAAChAgAAZHJzL2Rvd25yZXYueG1sUEsFBgAAAAAEAAQA+QAAAJMDAAAAAA==&#10;" strokecolor="black [3213]">
                        <v:stroke endarrow="block"/>
                      </v:shape>
                      <v:shape id="Straight Arrow Connector 26" o:spid="_x0000_s1044" type="#_x0000_t32" style="position:absolute;left:41398;top:5232;width:4738;height:61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2I8QAAADbAAAADwAAAGRycy9kb3ducmV2LnhtbESPT4vCMBTE7wt+h/CEva2pFfxTjSKC&#10;ru7NKqi3R/Nsi81LabLa/fZmQfA4zMxvmNmiNZW4U+NKywr6vQgEcWZ1ybmC42H9NQbhPLLGyjIp&#10;+CMHi3nnY4aJtg/e0z31uQgQdgkqKLyvEyldVpBB17M1cfCutjHog2xyqRt8BLipZBxFQ2mw5LBQ&#10;YE2rgrJb+msUjOTpOxpn27g/GRzPl1Vqdz8bq9Rnt11OQXhq/Tv8am+1gngI/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47YjxAAAANsAAAAPAAAAAAAAAAAA&#10;AAAAAKECAABkcnMvZG93bnJldi54bWxQSwUGAAAAAAQABAD5AAAAkgMAAAAA&#10;" strokecolor="black [3213]">
                        <v:stroke endarrow="block"/>
                      </v:shape>
                      <v:shape id="TextBox 116" o:spid="_x0000_s1045" type="#_x0000_t202" style="position:absolute;left:25096;top:-5;width:12866;height:5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k5MYA&#10;AADbAAAADwAAAGRycy9kb3ducmV2LnhtbESPT2vCQBTE70K/w/IKvUjd6KGW6CpSKA3pwb/FHh/Z&#10;ZxKafRt31xi/fbcg9DjMzG+Y+bI3jejI+dqygvEoAUFcWF1zqeCwf39+BeEDssbGMim4kYfl4mEw&#10;x1TbK2+p24VSRAj7FBVUIbSplL6oyKAf2ZY4eifrDIYoXSm1w2uEm0ZOkuRFGqw5LlTY0ltFxc/u&#10;YhRs8+NlePqQn99dsdpk+df6cN5LpZ4e+9UMRKA+/Ifv7UwrmEzh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Dk5MYAAADbAAAADwAAAAAAAAAAAAAAAACYAgAAZHJz&#10;L2Rvd25yZXYueG1sUEsFBgAAAAAEAAQA9QAAAIsDAAAAAA==&#10;" fillcolor="white [3201]" strokecolor="black [3200]">
                        <v:textbox>
                          <w:txbxContent>
                            <w:p w14:paraId="1CA4E20B" w14:textId="77777777" w:rsidR="00E960F3" w:rsidRPr="00E960F3" w:rsidRDefault="00E960F3" w:rsidP="00E960F3">
                              <w:pPr>
                                <w:pStyle w:val="NormalWeb"/>
                                <w:spacing w:before="0" w:beforeAutospacing="0" w:after="0" w:afterAutospacing="0"/>
                                <w:jc w:val="center"/>
                              </w:pPr>
                              <w:r w:rsidRPr="00E960F3">
                                <w:rPr>
                                  <w:rFonts w:asciiTheme="minorHAnsi" w:hAnsi="Calibri" w:cstheme="minorBidi"/>
                                  <w:b/>
                                  <w:bCs/>
                                  <w:color w:val="000000" w:themeColor="dark1"/>
                                  <w:kern w:val="24"/>
                                </w:rPr>
                                <w:t>Individual Resilience</w:t>
                              </w:r>
                            </w:p>
                          </w:txbxContent>
                        </v:textbox>
                      </v:shape>
                      <v:shape id="TextBox 117" o:spid="_x0000_s1046" type="#_x0000_t202" style="position:absolute;left:39742;top:-1;width:12795;height:5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wlsIA&#10;AADbAAAADwAAAGRycy9kb3ducmV2LnhtbERPy2rCQBTdF/yH4QpuSp3URSnRUYIgDbrwTbu8ZK5J&#10;aOZOzEwe/XtnUXB5OO/FajCV6KhxpWUF79MIBHFmdcm5gst58/YJwnlkjZVlUvBHDlbL0csCY217&#10;PlJ38rkIIexiVFB4X8dSuqwgg25qa+LA3Wxj0AfY5FI32IdwU8lZFH1IgyWHhgJrWheU/Z5ao+C4&#10;/W5fb19y99NlySHdXveX+1kqNRkPyRyEp8E/xf/uVCuYhbH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3CWwgAAANsAAAAPAAAAAAAAAAAAAAAAAJgCAABkcnMvZG93&#10;bnJldi54bWxQSwUGAAAAAAQABAD1AAAAhwMAAAAA&#10;" fillcolor="white [3201]" strokecolor="black [3200]">
                        <v:textbox>
                          <w:txbxContent>
                            <w:p w14:paraId="7C807A96" w14:textId="77777777" w:rsidR="00E960F3" w:rsidRPr="00E960F3" w:rsidRDefault="00E960F3" w:rsidP="00E960F3">
                              <w:pPr>
                                <w:pStyle w:val="NormalWeb"/>
                                <w:spacing w:before="0" w:beforeAutospacing="0" w:after="0" w:afterAutospacing="0"/>
                                <w:jc w:val="center"/>
                              </w:pPr>
                              <w:r w:rsidRPr="00E960F3">
                                <w:rPr>
                                  <w:rFonts w:asciiTheme="minorHAnsi" w:hAnsi="Calibri" w:cstheme="minorBidi"/>
                                  <w:b/>
                                  <w:bCs/>
                                  <w:color w:val="000000" w:themeColor="dark1"/>
                                  <w:kern w:val="24"/>
                                </w:rPr>
                                <w:t>Home Resilience</w:t>
                              </w:r>
                            </w:p>
                          </w:txbxContent>
                        </v:textbox>
                      </v:shape>
                      <v:shape id="Straight Arrow Connector 29" o:spid="_x0000_s1047" type="#_x0000_t32" style="position:absolute;left:31520;top:5232;width:5601;height:6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7t8UAAADbAAAADwAAAGRycy9kb3ducmV2LnhtbESPzWrDMBCE74W8g9hAbo2cHErrRgn5&#10;IVByap2G0NtibS031sqRFNt9+6pQ6HGYmW+YxWqwjejIh9qxgtk0A0FcOl1zpeD9uL9/BBEissbG&#10;MSn4pgCr5ehugbl2Pb9RV8RKJAiHHBWYGNtcylAashimriVO3qfzFmOSvpLaY5/gtpHzLHuQFmtO&#10;CwZb2hoqL8XNKmi6Q3893b6uZvfaHYvt+cNsfKvUZDysn0FEGuJ/+K/9ohXMn+D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77t8UAAADbAAAADwAAAAAAAAAA&#10;AAAAAAChAgAAZHJzL2Rvd25yZXYueG1sUEsFBgAAAAAEAAQA+QAAAJMDAAAAAA==&#10;" strokecolor="black [3213]">
                        <v:stroke endarrow="block"/>
                      </v:shape>
                      <v:shape id="TextBox 109" o:spid="_x0000_s1048" type="#_x0000_t202" style="position:absolute;left:3609;top:17711;width:16536;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t/MEA&#10;AADbAAAADwAAAGRycy9kb3ducmV2LnhtbERPz2vCMBS+C/sfwhvsIjPdhkWraRFxsOFJ7WHHZ/Ns&#10;w5qXkkTt/vvlMNjx4/u9rkbbixv5YBwreJllIIgbpw23CurT+/MCRIjIGnvHpOCHAlTlw2SNhXZ3&#10;PtDtGFuRQjgUqKCLcSikDE1HFsPMDcSJuzhvMSboW6k93lO47eVrluXSouHU0OFA246a7+PVKjD1&#10;Zn/Vn+e55yl+5bnZhcWyVurpcdysQEQa47/4z/2hFbyl9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7fzBAAAA2wAAAA8AAAAAAAAAAAAAAAAAmAIAAGRycy9kb3du&#10;cmV2LnhtbFBLBQYAAAAABAAEAPUAAACGAwAAAAA=&#10;" fillcolor="#e5dfec [663]" strokecolor="black [3200]">
                        <v:textbox>
                          <w:txbxContent>
                            <w:p w14:paraId="67EBCE57" w14:textId="77777777" w:rsidR="00E960F3" w:rsidRPr="00E960F3" w:rsidRDefault="00E960F3" w:rsidP="00E960F3">
                              <w:pPr>
                                <w:pStyle w:val="NormalWeb"/>
                                <w:spacing w:before="0" w:beforeAutospacing="0" w:after="0" w:afterAutospacing="0"/>
                                <w:jc w:val="center"/>
                                <w:rPr>
                                  <w:sz w:val="28"/>
                                  <w:szCs w:val="28"/>
                                </w:rPr>
                              </w:pPr>
                              <w:r w:rsidRPr="00E960F3">
                                <w:rPr>
                                  <w:rFonts w:asciiTheme="minorHAnsi" w:hAnsi="Calibri" w:cstheme="minorBidi"/>
                                  <w:color w:val="000000" w:themeColor="dark1"/>
                                  <w:kern w:val="24"/>
                                  <w:sz w:val="28"/>
                                  <w:szCs w:val="28"/>
                                </w:rPr>
                                <w:t>Government Policy</w:t>
                              </w:r>
                            </w:p>
                          </w:txbxContent>
                        </v:textbox>
                      </v:shape>
                      <v:shape id="TextBox 328" o:spid="_x0000_s1049" type="#_x0000_t202" style="position:absolute;top:6709;width:7200;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P1sUA&#10;AADbAAAADwAAAGRycy9kb3ducmV2LnhtbESPT4vCMBTE78J+h/AWvMiaqiBSjSILi6IH/y7u8dE8&#10;27LNS21ird/eCILHYWZ+w0xmjSlETZXLLSvodSMQxInVOacKjoefrxEI55E1FpZJwZ0czKYfrQnG&#10;2t54R/XepyJA2MWoIPO+jKV0SUYGXdeWxME728qgD7JKpa7wFuCmkP0oGkqDOYeFDEv6zij531+N&#10;gt3qdO2cF3L9Vyfz7XL1uzleDlKp9mczH4Pw1Ph3+NVeagWDHjy/h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E/WxQAAANsAAAAPAAAAAAAAAAAAAAAAAJgCAABkcnMv&#10;ZG93bnJldi54bWxQSwUGAAAAAAQABAD1AAAAigMAAAAA&#10;" fillcolor="white [3201]" strokecolor="black [3200]">
                        <v:textbox>
                          <w:txbxContent>
                            <w:p w14:paraId="5C57D790"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dark1"/>
                                  <w:kern w:val="24"/>
                                  <w:sz w:val="20"/>
                                  <w:szCs w:val="20"/>
                                </w:rPr>
                                <w:t>Local</w:t>
                              </w:r>
                            </w:p>
                          </w:txbxContent>
                        </v:textbox>
                      </v:shape>
                      <v:shape id="TextBox 189" o:spid="_x0000_s1050" type="#_x0000_t202" style="position:absolute;left:8306;top:6709;width:7112;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DU8YA&#10;AADbAAAADwAAAGRycy9kb3ducmV2LnhtbESPQWvCQBSE70L/w/IKvUjdtEgo0VWkUCr2oEaLPT6y&#10;zyQ0+zbdXWP8964g9DjMzDfMdN6bRnTkfG1ZwcsoAUFcWF1zqWC/+3h+A+EDssbGMim4kIf57GEw&#10;xUzbM2+py0MpIoR9hgqqENpMSl9UZNCPbEscvaN1BkOUrpTa4TnCTSNfkySVBmuOCxW29F5R8Zuf&#10;jILt6nAaHj/l109XLDbL1fd6/7eTSj099osJiEB9+A/f20utIB3D7U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jDU8YAAADbAAAADwAAAAAAAAAAAAAAAACYAgAAZHJz&#10;L2Rvd25yZXYueG1sUEsFBgAAAAAEAAQA9QAAAIsDAAAAAA==&#10;" fillcolor="white [3201]" strokecolor="black [3200]">
                        <v:textbox>
                          <w:txbxContent>
                            <w:p w14:paraId="30F5A819"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dark1"/>
                                  <w:kern w:val="24"/>
                                  <w:sz w:val="20"/>
                                  <w:szCs w:val="20"/>
                                </w:rPr>
                                <w:t>State</w:t>
                              </w:r>
                            </w:p>
                          </w:txbxContent>
                        </v:textbox>
                      </v:shape>
                      <v:shape id="TextBox 190" o:spid="_x0000_s1051" type="#_x0000_t202" style="position:absolute;left:16801;top:6849;width:8642;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myMYA&#10;AADbAAAADwAAAGRycy9kb3ducmV2LnhtbESPQWvCQBSE70L/w/IKvUjdtGAo0VWkUCr2oEaLPT6y&#10;zyQ0+zbdXWP8964g9DjMzDfMdN6bRnTkfG1ZwcsoAUFcWF1zqWC/+3h+A+EDssbGMim4kIf57GEw&#10;xUzbM2+py0MpIoR9hgqqENpMSl9UZNCPbEscvaN1BkOUrpTa4TnCTSNfkySVBmuOCxW29F5R8Zuf&#10;jILt6nAaHj/l109XLDbL1fd6/7eTSj099osJiEB9+A/f20utIB3D7U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RmyMYAAADbAAAADwAAAAAAAAAAAAAAAACYAgAAZHJz&#10;L2Rvd25yZXYueG1sUEsFBgAAAAAEAAQA9QAAAIsDAAAAAA==&#10;" fillcolor="white [3201]" strokecolor="black [3200]">
                        <v:textbox>
                          <w:txbxContent>
                            <w:p w14:paraId="5B3E996D" w14:textId="77777777" w:rsidR="00E960F3" w:rsidRPr="00E960F3" w:rsidRDefault="00E960F3" w:rsidP="00E960F3">
                              <w:pPr>
                                <w:pStyle w:val="NormalWeb"/>
                                <w:spacing w:before="0" w:beforeAutospacing="0" w:after="0" w:afterAutospacing="0"/>
                                <w:jc w:val="center"/>
                                <w:rPr>
                                  <w:sz w:val="20"/>
                                  <w:szCs w:val="20"/>
                                </w:rPr>
                              </w:pPr>
                              <w:r w:rsidRPr="00E960F3">
                                <w:rPr>
                                  <w:rFonts w:asciiTheme="minorHAnsi" w:hAnsi="Calibri" w:cstheme="minorBidi"/>
                                  <w:b/>
                                  <w:bCs/>
                                  <w:color w:val="000000" w:themeColor="dark1"/>
                                  <w:kern w:val="24"/>
                                  <w:sz w:val="20"/>
                                  <w:szCs w:val="20"/>
                                </w:rPr>
                                <w:t>Federal</w:t>
                              </w:r>
                            </w:p>
                          </w:txbxContent>
                        </v:textbox>
                      </v:shape>
                      <v:shape id="Straight Arrow Connector 66" o:spid="_x0000_s1052" type="#_x0000_t32" style="position:absolute;left:3600;top:9788;width:5524;height:7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v:shape>
                      <v:shape id="Straight Arrow Connector 67" o:spid="_x0000_s1053" type="#_x0000_t32" style="position:absolute;left:15485;top:9927;width:5637;height:7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qeMUAAADbAAAADwAAAGRycy9kb3ducmV2LnhtbESPQWvCQBSE74L/YXmF3sxGC9GmriKC&#10;1vZmDLS9PbKvSWj2bchuk/jv3ULB4zAz3zDr7Wga0VPnassK5lEMgriwuuZSQX45zFYgnEfW2Fgm&#10;BVdysN1MJ2tMtR34TH3mSxEg7FJUUHnfplK6oiKDLrItcfC+bWfQB9mVUnc4BLhp5CKOE2mw5rBQ&#10;YUv7ioqf7NcoWMqP13hVnBbz56f882uf2bf3o1Xq8WHcvYDwNPp7+L990gqSJ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WqeMUAAADbAAAADwAAAAAAAAAA&#10;AAAAAAChAgAAZHJzL2Rvd25yZXYueG1sUEsFBgAAAAAEAAQA+QAAAJMDAAAAAA==&#10;" strokecolor="black [3213]">
                        <v:stroke endarrow="block"/>
                      </v:shape>
                      <v:shape id="Straight Arrow Connector 68" o:spid="_x0000_s1054" type="#_x0000_t32" style="position:absolute;left:11865;top:9788;width:0;height:7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7MEAAADbAAAADwAAAGRycy9kb3ducmV2LnhtbERPz2vCMBS+D/wfwhN2m6k7yOiM4pSB&#10;eJpVGbs9mremrnmpSWzrf78cBI8f3+/5crCN6MiH2rGC6SQDQVw6XXOl4Hj4fHkDESKyxsYxKbhR&#10;gOVi9DTHXLue99QVsRIphEOOCkyMbS5lKA1ZDBPXEifu13mLMUFfSe2xT+G2ka9ZNpMWa04NBlta&#10;Gyr/iqtV0HS7/nK6ni9m89UdivX3j/nwrVLP42H1DiLSEB/iu3urFczS2PQ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6OfswQAAANsAAAAPAAAAAAAAAAAAAAAA&#10;AKECAABkcnMvZG93bnJldi54bWxQSwUGAAAAAAQABAD5AAAAjwMAAAAA&#10;" strokecolor="black [3213]">
                        <v:stroke endarrow="block"/>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9" o:spid="_x0000_s1055" type="#_x0000_t67" style="position:absolute;left:38303;top:29182;width:4183;height:5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q98UA&#10;AADbAAAADwAAAGRycy9kb3ducmV2LnhtbESPQWvCQBSE7wX/w/IEL6IbWwiaukosJLQnW+2hx0f2&#10;NRvMvg3ZjcZ/3y0Uehxm5htmux9tK67U+8axgtUyAUFcOd1wreDzXCzWIHxA1tg6JgV38rDfTR62&#10;mGl34w+6nkItIoR9hgpMCF0mpa8MWfRL1xFH79v1FkOUfS11j7cIt618TJJUWmw4Lhjs6MVQdTkN&#10;VsHgng4bfFsX78NXeZyvinx+LHOlZtMxfwYRaAz/4b/2q1aQbuD3S/wB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ur3xQAAANsAAAAPAAAAAAAAAAAAAAAAAJgCAABkcnMv&#10;ZG93bnJldi54bWxQSwUGAAAAAAQABAD1AAAAigMAAAAA&#10;" adj="13035" fillcolor="black [3200]" strokecolor="black [1600]" strokeweight="1pt"/>
                  </v:group>
                </v:group>
                <w10:wrap type="topAndBottom"/>
              </v:group>
            </w:pict>
          </mc:Fallback>
        </mc:AlternateContent>
      </w:r>
      <w:r w:rsidRPr="00244CC3">
        <w:rPr>
          <w:b/>
        </w:rPr>
        <w:t>Figure 1</w:t>
      </w:r>
      <w:r w:rsidR="00244CC3">
        <w:rPr>
          <w:b/>
        </w:rPr>
        <w:t xml:space="preserve">: </w:t>
      </w:r>
      <w:r w:rsidRPr="00244CC3">
        <w:rPr>
          <w:b/>
        </w:rPr>
        <w:t xml:space="preserve"> Understanding </w:t>
      </w:r>
      <w:r w:rsidR="00BF03BC">
        <w:rPr>
          <w:b/>
        </w:rPr>
        <w:t>r</w:t>
      </w:r>
      <w:r w:rsidRPr="00244CC3">
        <w:rPr>
          <w:b/>
        </w:rPr>
        <w:t xml:space="preserve">esidential </w:t>
      </w:r>
      <w:r w:rsidR="00BF03BC">
        <w:rPr>
          <w:b/>
        </w:rPr>
        <w:t>t</w:t>
      </w:r>
      <w:r w:rsidRPr="00244CC3">
        <w:rPr>
          <w:b/>
        </w:rPr>
        <w:t xml:space="preserve">ransitions of </w:t>
      </w:r>
      <w:r w:rsidR="00BF03BC">
        <w:rPr>
          <w:b/>
        </w:rPr>
        <w:t>o</w:t>
      </w:r>
      <w:r w:rsidRPr="00244CC3">
        <w:rPr>
          <w:b/>
        </w:rPr>
        <w:t>lder Queenslanders</w:t>
      </w:r>
    </w:p>
    <w:p w14:paraId="04315CD7" w14:textId="77777777" w:rsidR="00E960F3" w:rsidRPr="0005526D" w:rsidRDefault="00E960F3" w:rsidP="00E960F3">
      <w:pPr>
        <w:pStyle w:val="Heading3"/>
      </w:pPr>
      <w:bookmarkStart w:id="194" w:name="_Toc460257485"/>
      <w:r w:rsidRPr="00111753">
        <w:rPr>
          <w:sz w:val="26"/>
          <w:szCs w:val="26"/>
        </w:rPr>
        <w:lastRenderedPageBreak/>
        <w:t>Consultation</w:t>
      </w:r>
      <w:bookmarkEnd w:id="194"/>
    </w:p>
    <w:p w14:paraId="74C3467F" w14:textId="77777777" w:rsidR="00E960F3" w:rsidRDefault="00E960F3" w:rsidP="00E960F3">
      <w:pPr>
        <w:rPr>
          <w:rFonts w:cs="Arial"/>
        </w:rPr>
      </w:pPr>
      <w:r>
        <w:rPr>
          <w:rFonts w:cs="Arial"/>
        </w:rPr>
        <w:t xml:space="preserve">Importantly, the work of the Taskforce was informed by community views and experiences through a number of community engagement opportunities:  </w:t>
      </w:r>
    </w:p>
    <w:p w14:paraId="02745E4B" w14:textId="7D3DEAD3" w:rsidR="00E960F3" w:rsidRDefault="00E960F3" w:rsidP="00E960F3">
      <w:pPr>
        <w:pStyle w:val="ListParagraph"/>
        <w:numPr>
          <w:ilvl w:val="0"/>
          <w:numId w:val="14"/>
        </w:numPr>
        <w:rPr>
          <w:rFonts w:cs="Arial"/>
        </w:rPr>
      </w:pPr>
      <w:r>
        <w:rPr>
          <w:rFonts w:cs="Arial"/>
        </w:rPr>
        <w:t>A Taskforce</w:t>
      </w:r>
      <w:r w:rsidRPr="00E820DE">
        <w:rPr>
          <w:rFonts w:cs="Arial"/>
        </w:rPr>
        <w:t xml:space="preserve"> Issues Paper</w:t>
      </w:r>
      <w:r>
        <w:rPr>
          <w:rFonts w:cs="Arial"/>
        </w:rPr>
        <w:t xml:space="preserve">, released </w:t>
      </w:r>
      <w:r w:rsidRPr="00446F37">
        <w:rPr>
          <w:rFonts w:cs="Arial"/>
        </w:rPr>
        <w:t xml:space="preserve">on 30 June 2016 </w:t>
      </w:r>
      <w:r>
        <w:rPr>
          <w:rFonts w:cs="Arial"/>
        </w:rPr>
        <w:t xml:space="preserve">(Appendix 3), </w:t>
      </w:r>
      <w:r w:rsidRPr="005017A1">
        <w:rPr>
          <w:rFonts w:cs="Arial"/>
        </w:rPr>
        <w:t>sought the views, ideas and suggestions from the community, especially older Queenslanders</w:t>
      </w:r>
      <w:r w:rsidR="00244CC3">
        <w:rPr>
          <w:rFonts w:cs="Arial"/>
        </w:rPr>
        <w:t>. Twenty</w:t>
      </w:r>
      <w:r w:rsidRPr="005017A1">
        <w:rPr>
          <w:rFonts w:cs="Arial"/>
        </w:rPr>
        <w:t xml:space="preserve"> submissions were received in response</w:t>
      </w:r>
      <w:r>
        <w:rPr>
          <w:rFonts w:cs="Arial"/>
        </w:rPr>
        <w:t>.</w:t>
      </w:r>
    </w:p>
    <w:p w14:paraId="455202F1" w14:textId="77777777" w:rsidR="00E960F3" w:rsidRDefault="00E960F3" w:rsidP="00E960F3">
      <w:pPr>
        <w:pStyle w:val="ListParagraph"/>
        <w:numPr>
          <w:ilvl w:val="0"/>
          <w:numId w:val="14"/>
        </w:numPr>
        <w:rPr>
          <w:rFonts w:cs="Arial"/>
        </w:rPr>
      </w:pPr>
      <w:r>
        <w:rPr>
          <w:rFonts w:cs="Arial"/>
        </w:rPr>
        <w:t xml:space="preserve">Two community consultation workshops provided opportunities to listen to the ‘consumer voice’. Sessions were held in Hervey Bay on 4 August 2016 and Brisbane on 8 August 2016. The workshops were facilitated by Leonie Sanderson of The Ageing Revolution.   </w:t>
      </w:r>
    </w:p>
    <w:p w14:paraId="45CA2F18" w14:textId="7647AB05" w:rsidR="00E960F3" w:rsidRPr="00E960F3" w:rsidRDefault="00E960F3" w:rsidP="00E960F3">
      <w:pPr>
        <w:pStyle w:val="ListParagraph"/>
        <w:numPr>
          <w:ilvl w:val="0"/>
          <w:numId w:val="14"/>
        </w:numPr>
        <w:spacing w:after="0"/>
        <w:rPr>
          <w:rFonts w:cs="Arial"/>
        </w:rPr>
      </w:pPr>
      <w:r w:rsidRPr="00E960F3">
        <w:rPr>
          <w:rFonts w:cs="Arial"/>
        </w:rPr>
        <w:t>A workshop at the International Federation of Ageing Conference held in Brisbane on 23 June 2016 sought the views of a cross-section of national and international participants. The workshop was facilitated by Professor Bruce Judd of the University of New South Wales.</w:t>
      </w:r>
    </w:p>
    <w:p w14:paraId="2A51A509" w14:textId="77777777" w:rsidR="00691F5C" w:rsidRDefault="00691F5C" w:rsidP="000D18B4">
      <w:pPr>
        <w:spacing w:after="0"/>
        <w:ind w:left="405"/>
        <w:rPr>
          <w:rFonts w:cs="Arial"/>
        </w:rPr>
      </w:pPr>
    </w:p>
    <w:p w14:paraId="005D3D93" w14:textId="22D56320" w:rsidR="000D18B4" w:rsidRPr="00244CC3" w:rsidRDefault="00244CC3" w:rsidP="00244CC3">
      <w:pPr>
        <w:spacing w:after="0"/>
        <w:rPr>
          <w:rFonts w:cs="Arial"/>
          <w:b/>
        </w:rPr>
      </w:pPr>
      <w:r w:rsidRPr="00244CC3">
        <w:rPr>
          <w:rFonts w:cs="Arial"/>
          <w:b/>
        </w:rPr>
        <w:t>Community Consultation: w</w:t>
      </w:r>
      <w:r w:rsidR="000D18B4" w:rsidRPr="00244CC3">
        <w:rPr>
          <w:rFonts w:cs="Arial"/>
          <w:b/>
        </w:rPr>
        <w:t>orkshop participants design their ideal communities</w:t>
      </w:r>
    </w:p>
    <w:p w14:paraId="6835538C" w14:textId="77777777" w:rsidR="00244CC3" w:rsidRPr="00244CC3" w:rsidRDefault="00244CC3" w:rsidP="00244CC3">
      <w:pPr>
        <w:pStyle w:val="ListParagraph"/>
        <w:spacing w:after="0"/>
        <w:rPr>
          <w:rFonts w:cs="Arial"/>
          <w:b/>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96"/>
        <w:gridCol w:w="4636"/>
      </w:tblGrid>
      <w:tr w:rsidR="000D18B4" w14:paraId="689E7EA7" w14:textId="77777777" w:rsidTr="00BA3344">
        <w:trPr>
          <w:trHeight w:val="4028"/>
        </w:trPr>
        <w:tc>
          <w:tcPr>
            <w:tcW w:w="4804" w:type="dxa"/>
          </w:tcPr>
          <w:p w14:paraId="140FE77A" w14:textId="77777777" w:rsidR="000D18B4" w:rsidRDefault="000D18B4" w:rsidP="00BA3344">
            <w:pPr>
              <w:rPr>
                <w:rFonts w:cs="Arial"/>
              </w:rPr>
            </w:pPr>
            <w:r>
              <w:rPr>
                <w:rFonts w:eastAsia="Times New Roman"/>
                <w:noProof/>
                <w:lang w:eastAsia="en-AU"/>
              </w:rPr>
              <w:drawing>
                <wp:anchor distT="0" distB="0" distL="114300" distR="114300" simplePos="0" relativeHeight="251660288" behindDoc="0" locked="0" layoutInCell="1" allowOverlap="1" wp14:anchorId="56E37991" wp14:editId="6FBB986C">
                  <wp:simplePos x="0" y="0"/>
                  <wp:positionH relativeFrom="column">
                    <wp:posOffset>-220980</wp:posOffset>
                  </wp:positionH>
                  <wp:positionV relativeFrom="paragraph">
                    <wp:posOffset>1270</wp:posOffset>
                  </wp:positionV>
                  <wp:extent cx="3752215" cy="2506980"/>
                  <wp:effectExtent l="0" t="0" r="635" b="7620"/>
                  <wp:wrapSquare wrapText="bothSides"/>
                  <wp:docPr id="70" name="Picture 70" descr="cid:0734DBB2-610C-48CD-B2C4-F60ED1727A6A@i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A4D78-1B30-4321-BA85-3F054D429493" descr="cid:0734DBB2-610C-48CD-B2C4-F60ED1727A6A@iiNe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75221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1312" behindDoc="0" locked="0" layoutInCell="1" allowOverlap="1" wp14:anchorId="0AD364E5" wp14:editId="6AD249D4">
                  <wp:simplePos x="0" y="0"/>
                  <wp:positionH relativeFrom="column">
                    <wp:posOffset>3810</wp:posOffset>
                  </wp:positionH>
                  <wp:positionV relativeFrom="paragraph">
                    <wp:posOffset>2515870</wp:posOffset>
                  </wp:positionV>
                  <wp:extent cx="3095625" cy="2065020"/>
                  <wp:effectExtent l="0" t="0" r="9525" b="0"/>
                  <wp:wrapSquare wrapText="bothSides"/>
                  <wp:docPr id="71" name="Picture 71" descr="\\ebus.root.internal\dc\SPP\CoS\CEP\POLICY\Older People\Taskforce on Residential Transition\Consultation\Brisbane\Photos\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us.root.internal\dc\SPP\CoS\CEP\POLICY\Older People\Taskforce on Residential Transition\Consultation\Brisbane\Photos\photo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4" w:type="dxa"/>
          </w:tcPr>
          <w:p w14:paraId="412FFA34" w14:textId="77777777" w:rsidR="000D18B4" w:rsidRDefault="000D18B4" w:rsidP="00BA3344">
            <w:pPr>
              <w:rPr>
                <w:rFonts w:cs="Arial"/>
              </w:rPr>
            </w:pPr>
            <w:r>
              <w:rPr>
                <w:rFonts w:cs="Arial"/>
                <w:noProof/>
                <w:lang w:eastAsia="en-AU"/>
              </w:rPr>
              <w:drawing>
                <wp:anchor distT="0" distB="0" distL="114300" distR="114300" simplePos="0" relativeHeight="251662336" behindDoc="0" locked="0" layoutInCell="1" allowOverlap="1" wp14:anchorId="20674367" wp14:editId="349183C9">
                  <wp:simplePos x="0" y="0"/>
                  <wp:positionH relativeFrom="column">
                    <wp:posOffset>1270</wp:posOffset>
                  </wp:positionH>
                  <wp:positionV relativeFrom="paragraph">
                    <wp:posOffset>1270</wp:posOffset>
                  </wp:positionV>
                  <wp:extent cx="2867025" cy="3568700"/>
                  <wp:effectExtent l="0" t="0" r="9525" b="0"/>
                  <wp:wrapSquare wrapText="bothSides"/>
                  <wp:docPr id="72" name="Picture 72" descr="\\ebus.root.internal\dc\SPP\CoS\CEP\POLICY\Older People\Taskforce on Residential Transition\Consultation\Brisbane\Photos\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us.root.internal\dc\SPP\CoS\CEP\POLICY\Older People\Taskforce on Residential Transition\Consultation\Brisbane\Photos\photo 1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8159" r="14782" b="-6779"/>
                          <a:stretch/>
                        </pic:blipFill>
                        <pic:spPr bwMode="auto">
                          <a:xfrm>
                            <a:off x="0" y="0"/>
                            <a:ext cx="2867025" cy="356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D18B4" w14:paraId="2680612B" w14:textId="77777777" w:rsidTr="00BA3344">
        <w:trPr>
          <w:trHeight w:val="4028"/>
        </w:trPr>
        <w:tc>
          <w:tcPr>
            <w:tcW w:w="4804" w:type="dxa"/>
          </w:tcPr>
          <w:p w14:paraId="236DAFF3" w14:textId="77777777" w:rsidR="000D18B4" w:rsidRDefault="000D18B4" w:rsidP="00BA3344">
            <w:pPr>
              <w:rPr>
                <w:rFonts w:cs="Arial"/>
                <w:noProof/>
                <w:lang w:eastAsia="en-AU"/>
              </w:rPr>
            </w:pPr>
            <w:r>
              <w:rPr>
                <w:rFonts w:cs="Arial"/>
                <w:noProof/>
                <w:lang w:eastAsia="en-AU"/>
              </w:rPr>
              <w:lastRenderedPageBreak/>
              <w:drawing>
                <wp:inline distT="0" distB="0" distL="0" distR="0" wp14:anchorId="4D7986CB" wp14:editId="4A34EC3E">
                  <wp:extent cx="2766060" cy="1836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6060" cy="1836920"/>
                          </a:xfrm>
                          <a:prstGeom prst="rect">
                            <a:avLst/>
                          </a:prstGeom>
                          <a:noFill/>
                          <a:ln>
                            <a:noFill/>
                          </a:ln>
                        </pic:spPr>
                      </pic:pic>
                    </a:graphicData>
                  </a:graphic>
                </wp:inline>
              </w:drawing>
            </w:r>
          </w:p>
        </w:tc>
        <w:tc>
          <w:tcPr>
            <w:tcW w:w="4744" w:type="dxa"/>
          </w:tcPr>
          <w:p w14:paraId="4203CA9B" w14:textId="77777777" w:rsidR="000D18B4" w:rsidRDefault="000D18B4" w:rsidP="00BA3344">
            <w:pPr>
              <w:rPr>
                <w:rFonts w:cs="Arial"/>
                <w:noProof/>
                <w:lang w:eastAsia="en-AU"/>
              </w:rPr>
            </w:pPr>
            <w:r>
              <w:rPr>
                <w:rFonts w:cs="Arial"/>
                <w:noProof/>
                <w:lang w:eastAsia="en-AU"/>
              </w:rPr>
              <w:drawing>
                <wp:inline distT="0" distB="0" distL="0" distR="0" wp14:anchorId="6B57DFD6" wp14:editId="2533025D">
                  <wp:extent cx="3703320" cy="24688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3320" cy="2468880"/>
                          </a:xfrm>
                          <a:prstGeom prst="rect">
                            <a:avLst/>
                          </a:prstGeom>
                          <a:noFill/>
                          <a:ln>
                            <a:noFill/>
                          </a:ln>
                        </pic:spPr>
                      </pic:pic>
                    </a:graphicData>
                  </a:graphic>
                </wp:inline>
              </w:drawing>
            </w:r>
          </w:p>
        </w:tc>
      </w:tr>
    </w:tbl>
    <w:p w14:paraId="261C85B1" w14:textId="77777777" w:rsidR="000D18B4" w:rsidRDefault="000D18B4" w:rsidP="000D18B4">
      <w:pPr>
        <w:rPr>
          <w:rFonts w:cs="Arial"/>
        </w:rPr>
      </w:pPr>
    </w:p>
    <w:p w14:paraId="6E634E74" w14:textId="77777777" w:rsidR="00244CC3" w:rsidRDefault="00244CC3" w:rsidP="000D18B4">
      <w:pPr>
        <w:rPr>
          <w:rFonts w:cs="Arial"/>
        </w:rPr>
      </w:pPr>
    </w:p>
    <w:p w14:paraId="2F418D53" w14:textId="5D45FD9E" w:rsidR="000D18B4" w:rsidRDefault="000D18B4" w:rsidP="000D18B4">
      <w:pPr>
        <w:rPr>
          <w:rFonts w:cs="Arial"/>
        </w:rPr>
      </w:pPr>
      <w:r>
        <w:rPr>
          <w:rFonts w:cs="Arial"/>
        </w:rPr>
        <w:t xml:space="preserve">A range of experts were </w:t>
      </w:r>
      <w:r w:rsidR="00BB210F">
        <w:rPr>
          <w:rFonts w:cs="Arial"/>
        </w:rPr>
        <w:t xml:space="preserve">also </w:t>
      </w:r>
      <w:r>
        <w:rPr>
          <w:rFonts w:cs="Arial"/>
        </w:rPr>
        <w:t>invited to provide their advice and views:</w:t>
      </w:r>
    </w:p>
    <w:p w14:paraId="00D78192" w14:textId="611F6EBD" w:rsidR="000D18B4" w:rsidRDefault="000D18B4" w:rsidP="004363AF">
      <w:pPr>
        <w:pStyle w:val="ListParagraph"/>
        <w:numPr>
          <w:ilvl w:val="0"/>
          <w:numId w:val="11"/>
        </w:numPr>
        <w:rPr>
          <w:rFonts w:cs="Arial"/>
        </w:rPr>
      </w:pPr>
      <w:r>
        <w:rPr>
          <w:rFonts w:cs="Arial"/>
        </w:rPr>
        <w:t>Expert Reference Group members attend</w:t>
      </w:r>
      <w:r w:rsidR="00BB210F">
        <w:rPr>
          <w:rFonts w:cs="Arial"/>
        </w:rPr>
        <w:t>ed</w:t>
      </w:r>
      <w:r>
        <w:rPr>
          <w:rFonts w:cs="Arial"/>
        </w:rPr>
        <w:t xml:space="preserve"> two Taskforce meetings and individual Taskforce members consulted Expert Reference Group members as appropriate</w:t>
      </w:r>
      <w:r w:rsidR="00BB210F">
        <w:rPr>
          <w:rFonts w:cs="Arial"/>
        </w:rPr>
        <w:t>.</w:t>
      </w:r>
      <w:r>
        <w:rPr>
          <w:rFonts w:cs="Arial"/>
        </w:rPr>
        <w:t xml:space="preserve"> </w:t>
      </w:r>
    </w:p>
    <w:p w14:paraId="66927E67" w14:textId="6AB6A81E" w:rsidR="000D18B4" w:rsidRPr="003032C5" w:rsidRDefault="000D18B4" w:rsidP="004363AF">
      <w:pPr>
        <w:pStyle w:val="ListParagraph"/>
        <w:numPr>
          <w:ilvl w:val="0"/>
          <w:numId w:val="11"/>
        </w:numPr>
        <w:spacing w:before="40"/>
        <w:rPr>
          <w:rFonts w:cs="Arial"/>
        </w:rPr>
      </w:pPr>
      <w:r w:rsidRPr="003032C5">
        <w:rPr>
          <w:rFonts w:cs="Arial"/>
        </w:rPr>
        <w:t>A Financial Options Roundtable compris</w:t>
      </w:r>
      <w:r w:rsidR="00BB210F">
        <w:rPr>
          <w:rFonts w:cs="Arial"/>
        </w:rPr>
        <w:t>ing</w:t>
      </w:r>
      <w:r w:rsidRPr="003032C5">
        <w:rPr>
          <w:rFonts w:cs="Arial"/>
        </w:rPr>
        <w:t xml:space="preserve"> </w:t>
      </w:r>
      <w:r w:rsidRPr="004C1AE3">
        <w:rPr>
          <w:rFonts w:cs="Arial"/>
        </w:rPr>
        <w:t xml:space="preserve">representatives </w:t>
      </w:r>
      <w:r w:rsidR="00BB210F">
        <w:rPr>
          <w:rFonts w:cs="Arial"/>
        </w:rPr>
        <w:t>of</w:t>
      </w:r>
      <w:r w:rsidR="00BB210F" w:rsidRPr="004C1AE3">
        <w:rPr>
          <w:rFonts w:cs="Arial"/>
        </w:rPr>
        <w:t xml:space="preserve"> </w:t>
      </w:r>
      <w:r w:rsidRPr="004C1AE3">
        <w:rPr>
          <w:rFonts w:cs="Arial"/>
        </w:rPr>
        <w:t xml:space="preserve">the banking sector, financial advisors, non-government sector, building and development industry, groups representing older Queenslanders, and academics provided </w:t>
      </w:r>
      <w:r w:rsidRPr="003032C5">
        <w:rPr>
          <w:rFonts w:cs="Arial"/>
        </w:rPr>
        <w:t xml:space="preserve">their expertise and views on financial matters and products.  </w:t>
      </w:r>
    </w:p>
    <w:p w14:paraId="1D081062" w14:textId="0B6DB307" w:rsidR="000D18B4" w:rsidRDefault="000D18B4" w:rsidP="004363AF">
      <w:pPr>
        <w:pStyle w:val="ListParagraph"/>
        <w:numPr>
          <w:ilvl w:val="0"/>
          <w:numId w:val="11"/>
        </w:numPr>
        <w:rPr>
          <w:rFonts w:cs="Arial"/>
        </w:rPr>
      </w:pPr>
      <w:r>
        <w:rPr>
          <w:rFonts w:cs="Arial"/>
        </w:rPr>
        <w:t xml:space="preserve">Neil Willmett, Executive Director, Aboriginal and Torres Strait Islander Strategy, Department of Housing and Public Works </w:t>
      </w:r>
      <w:r w:rsidR="00BB210F">
        <w:rPr>
          <w:rFonts w:cs="Arial"/>
        </w:rPr>
        <w:t>gave a</w:t>
      </w:r>
      <w:r>
        <w:rPr>
          <w:rFonts w:cs="Arial"/>
        </w:rPr>
        <w:t xml:space="preserve"> presentation on the context and housing needs of Aboriginal and Torres Strait Islander Queenslanders</w:t>
      </w:r>
      <w:r w:rsidR="00BB210F" w:rsidRPr="00BB210F">
        <w:rPr>
          <w:rFonts w:cs="Arial"/>
        </w:rPr>
        <w:t xml:space="preserve"> </w:t>
      </w:r>
      <w:r w:rsidR="00BB210F">
        <w:rPr>
          <w:rFonts w:cs="Arial"/>
        </w:rPr>
        <w:t>at a Taskforce meeting</w:t>
      </w:r>
      <w:r>
        <w:rPr>
          <w:rFonts w:cs="Arial"/>
        </w:rPr>
        <w:t xml:space="preserve">. </w:t>
      </w:r>
    </w:p>
    <w:p w14:paraId="5969522C" w14:textId="7B95D657" w:rsidR="000D18B4" w:rsidRPr="0086665E" w:rsidRDefault="000D18B4" w:rsidP="004363AF">
      <w:pPr>
        <w:pStyle w:val="ListParagraph"/>
        <w:numPr>
          <w:ilvl w:val="0"/>
          <w:numId w:val="11"/>
        </w:numPr>
        <w:rPr>
          <w:rFonts w:cs="Arial"/>
        </w:rPr>
      </w:pPr>
      <w:r w:rsidRPr="0086665E">
        <w:rPr>
          <w:rFonts w:cs="Arial"/>
        </w:rPr>
        <w:t xml:space="preserve">David Cant, </w:t>
      </w:r>
      <w:r w:rsidR="00BB210F">
        <w:rPr>
          <w:rFonts w:cs="Arial"/>
        </w:rPr>
        <w:t>Chief Executive Officer</w:t>
      </w:r>
      <w:r w:rsidRPr="0086665E">
        <w:rPr>
          <w:rFonts w:cs="Arial"/>
        </w:rPr>
        <w:t xml:space="preserve">, Brisbane Housing Company </w:t>
      </w:r>
      <w:r w:rsidR="00BB210F">
        <w:rPr>
          <w:rFonts w:cs="Arial"/>
        </w:rPr>
        <w:t>gave</w:t>
      </w:r>
      <w:r w:rsidR="00BB210F" w:rsidRPr="0086665E">
        <w:rPr>
          <w:rFonts w:cs="Arial"/>
        </w:rPr>
        <w:t xml:space="preserve"> </w:t>
      </w:r>
      <w:r w:rsidRPr="0086665E">
        <w:rPr>
          <w:rFonts w:cs="Arial"/>
        </w:rPr>
        <w:t>a presentation on social and affordable housing perspectives</w:t>
      </w:r>
      <w:r>
        <w:rPr>
          <w:rFonts w:cs="Arial"/>
        </w:rPr>
        <w:t xml:space="preserve"> at</w:t>
      </w:r>
      <w:r w:rsidRPr="0086665E">
        <w:rPr>
          <w:rFonts w:cs="Arial"/>
        </w:rPr>
        <w:t xml:space="preserve"> a Taskforce meeting. </w:t>
      </w:r>
    </w:p>
    <w:p w14:paraId="38824245" w14:textId="244ABE72" w:rsidR="000D18B4" w:rsidRDefault="000D18B4" w:rsidP="000D18B4">
      <w:pPr>
        <w:rPr>
          <w:rFonts w:cs="Arial"/>
        </w:rPr>
      </w:pPr>
      <w:r>
        <w:rPr>
          <w:rFonts w:cs="Arial"/>
        </w:rPr>
        <w:t xml:space="preserve">Rather than duplicate recent government consultation activities, the Taskforce accessed and </w:t>
      </w:r>
      <w:r w:rsidR="00BB210F">
        <w:rPr>
          <w:rFonts w:cs="Arial"/>
        </w:rPr>
        <w:t xml:space="preserve">used relevant </w:t>
      </w:r>
      <w:r>
        <w:rPr>
          <w:rFonts w:cs="Arial"/>
        </w:rPr>
        <w:t>information from two recent consultation processes:</w:t>
      </w:r>
    </w:p>
    <w:p w14:paraId="78351433" w14:textId="249C8705" w:rsidR="000D18B4" w:rsidRPr="009F0CE0" w:rsidRDefault="000D18B4" w:rsidP="004363AF">
      <w:pPr>
        <w:pStyle w:val="ListParagraph"/>
        <w:numPr>
          <w:ilvl w:val="0"/>
          <w:numId w:val="12"/>
        </w:numPr>
        <w:rPr>
          <w:rFonts w:cs="Arial"/>
        </w:rPr>
      </w:pPr>
      <w:r w:rsidRPr="00D16DAE">
        <w:rPr>
          <w:rFonts w:cs="Arial"/>
        </w:rPr>
        <w:t xml:space="preserve">the community survey for the development of the Queensland seniors strategy – </w:t>
      </w:r>
      <w:r w:rsidRPr="00D16DAE">
        <w:rPr>
          <w:rFonts w:cs="Arial"/>
          <w:i/>
        </w:rPr>
        <w:t>Queensland: an age friendly community</w:t>
      </w:r>
      <w:r w:rsidRPr="00D16DAE">
        <w:rPr>
          <w:rFonts w:cs="Arial"/>
        </w:rPr>
        <w:t xml:space="preserve">, </w:t>
      </w:r>
      <w:r w:rsidRPr="009F0CE0">
        <w:rPr>
          <w:rFonts w:cs="Arial"/>
        </w:rPr>
        <w:t>older Queenslanders told the Queensland government about the housing issues that are important to them</w:t>
      </w:r>
      <w:r w:rsidR="00BB210F">
        <w:rPr>
          <w:rFonts w:cs="Arial"/>
        </w:rPr>
        <w:t>.</w:t>
      </w:r>
      <w:r w:rsidRPr="009F0CE0">
        <w:rPr>
          <w:rFonts w:cs="Arial"/>
        </w:rPr>
        <w:t xml:space="preserve"> </w:t>
      </w:r>
    </w:p>
    <w:p w14:paraId="2754DF24" w14:textId="7C3A0AC5" w:rsidR="000D18B4" w:rsidRPr="00A47870" w:rsidRDefault="00EF4132" w:rsidP="004363AF">
      <w:pPr>
        <w:pStyle w:val="ListParagraph"/>
        <w:numPr>
          <w:ilvl w:val="0"/>
          <w:numId w:val="12"/>
        </w:numPr>
        <w:rPr>
          <w:rFonts w:cs="Arial"/>
        </w:rPr>
      </w:pPr>
      <w:r>
        <w:t>c</w:t>
      </w:r>
      <w:r w:rsidR="00BB210F" w:rsidRPr="009F0CE0">
        <w:t>ommunity</w:t>
      </w:r>
      <w:r w:rsidR="000D18B4" w:rsidRPr="009F0CE0">
        <w:t xml:space="preserve"> consultation processes </w:t>
      </w:r>
      <w:r w:rsidR="0056555B">
        <w:t>for</w:t>
      </w:r>
      <w:r w:rsidR="000D18B4" w:rsidRPr="009F0CE0">
        <w:t xml:space="preserve"> </w:t>
      </w:r>
      <w:r w:rsidR="000D18B4" w:rsidRPr="004C1AE3">
        <w:t xml:space="preserve">the </w:t>
      </w:r>
      <w:r w:rsidR="000D18B4" w:rsidRPr="004C1AE3">
        <w:rPr>
          <w:i/>
        </w:rPr>
        <w:t>Working together for better housing and sustainable communities discussion paper</w:t>
      </w:r>
      <w:r w:rsidR="000D18B4" w:rsidRPr="009F0CE0">
        <w:rPr>
          <w:rFonts w:cs="Arial"/>
        </w:rPr>
        <w:t xml:space="preserve"> included </w:t>
      </w:r>
      <w:r w:rsidR="00460E8D">
        <w:rPr>
          <w:rFonts w:cs="Arial"/>
        </w:rPr>
        <w:t>20</w:t>
      </w:r>
      <w:r w:rsidR="000D18B4" w:rsidRPr="009F0CE0">
        <w:t xml:space="preserve"> consultation sessions conducted across the </w:t>
      </w:r>
      <w:r w:rsidR="00BB210F">
        <w:t>s</w:t>
      </w:r>
      <w:r w:rsidR="000D18B4" w:rsidRPr="009F0CE0">
        <w:t>tate from Roma</w:t>
      </w:r>
      <w:r w:rsidR="000D18B4" w:rsidRPr="004C1AE3">
        <w:t xml:space="preserve"> to Mt Isa, Mackay and Brisbane.</w:t>
      </w:r>
    </w:p>
    <w:p w14:paraId="7E01303B" w14:textId="77777777" w:rsidR="000D18B4" w:rsidRPr="0005526D" w:rsidRDefault="000D18B4" w:rsidP="00111753">
      <w:pPr>
        <w:pStyle w:val="Heading3"/>
      </w:pPr>
      <w:bookmarkStart w:id="195" w:name="_Toc460257486"/>
      <w:r w:rsidRPr="0005526D">
        <w:t>Site visit</w:t>
      </w:r>
      <w:bookmarkEnd w:id="195"/>
    </w:p>
    <w:p w14:paraId="0EA44491" w14:textId="1949F533" w:rsidR="000D18B4" w:rsidRDefault="000D18B4" w:rsidP="000D18B4">
      <w:pPr>
        <w:rPr>
          <w:rFonts w:cs="Arial"/>
        </w:rPr>
      </w:pPr>
      <w:r>
        <w:rPr>
          <w:rFonts w:cs="Arial"/>
        </w:rPr>
        <w:t xml:space="preserve">The </w:t>
      </w:r>
      <w:r w:rsidR="00B435B7">
        <w:rPr>
          <w:rFonts w:cs="Arial"/>
        </w:rPr>
        <w:t xml:space="preserve">Taskforce toured the </w:t>
      </w:r>
      <w:r>
        <w:rPr>
          <w:rFonts w:cs="Arial"/>
        </w:rPr>
        <w:t>Churches of Christ Care</w:t>
      </w:r>
      <w:r w:rsidR="00B435B7">
        <w:rPr>
          <w:rFonts w:cs="Arial"/>
        </w:rPr>
        <w:t>’s</w:t>
      </w:r>
      <w:r>
        <w:rPr>
          <w:rFonts w:cs="Arial"/>
        </w:rPr>
        <w:t xml:space="preserve"> Moonah Park campus at Mitchelton. This suburban site provides a mixture of aged care, palliative care, dementia care, respite care and independent living units.  </w:t>
      </w:r>
    </w:p>
    <w:p w14:paraId="4EE72F57" w14:textId="77777777" w:rsidR="000D18B4" w:rsidRPr="0005526D" w:rsidRDefault="000D18B4" w:rsidP="00111753">
      <w:pPr>
        <w:pStyle w:val="Heading3"/>
      </w:pPr>
      <w:bookmarkStart w:id="196" w:name="_Toc460257487"/>
      <w:r w:rsidRPr="00111753">
        <w:rPr>
          <w:sz w:val="26"/>
          <w:szCs w:val="26"/>
        </w:rPr>
        <w:t>Research</w:t>
      </w:r>
      <w:bookmarkEnd w:id="196"/>
    </w:p>
    <w:p w14:paraId="13B6E613" w14:textId="2FFB165A" w:rsidR="000D18B4" w:rsidRDefault="00B435B7" w:rsidP="000D18B4">
      <w:pPr>
        <w:rPr>
          <w:rFonts w:cs="Arial"/>
        </w:rPr>
      </w:pPr>
      <w:r>
        <w:rPr>
          <w:rFonts w:cs="Arial"/>
        </w:rPr>
        <w:t>T</w:t>
      </w:r>
      <w:r w:rsidR="000D18B4">
        <w:rPr>
          <w:rFonts w:cs="Arial"/>
        </w:rPr>
        <w:t>he Taskforce drew on a range of information and knowledge sources</w:t>
      </w:r>
      <w:r w:rsidR="00221A15">
        <w:rPr>
          <w:rFonts w:cs="Arial"/>
        </w:rPr>
        <w:t>,</w:t>
      </w:r>
      <w:r>
        <w:rPr>
          <w:rFonts w:cs="Arial"/>
        </w:rPr>
        <w:t xml:space="preserve"> including</w:t>
      </w:r>
      <w:r w:rsidR="000D18B4" w:rsidRPr="009F0174">
        <w:rPr>
          <w:rFonts w:cs="Arial"/>
        </w:rPr>
        <w:t xml:space="preserve"> </w:t>
      </w:r>
      <w:r>
        <w:rPr>
          <w:rFonts w:cs="Arial"/>
        </w:rPr>
        <w:t>data</w:t>
      </w:r>
      <w:r w:rsidR="000D18B4" w:rsidRPr="009F0174">
        <w:rPr>
          <w:rFonts w:cs="Arial"/>
        </w:rPr>
        <w:t xml:space="preserve"> on demographic</w:t>
      </w:r>
      <w:r w:rsidR="000D18B4">
        <w:rPr>
          <w:rFonts w:cs="Arial"/>
        </w:rPr>
        <w:t xml:space="preserve"> and </w:t>
      </w:r>
      <w:r w:rsidR="000D18B4" w:rsidRPr="002A0A3C">
        <w:t>housing</w:t>
      </w:r>
      <w:r w:rsidR="000D18B4" w:rsidRPr="009F0174">
        <w:rPr>
          <w:rFonts w:cs="Arial"/>
        </w:rPr>
        <w:t xml:space="preserve"> trends for older people</w:t>
      </w:r>
      <w:r w:rsidR="00165750">
        <w:rPr>
          <w:rFonts w:cs="Arial"/>
        </w:rPr>
        <w:t xml:space="preserve">, services </w:t>
      </w:r>
      <w:r>
        <w:rPr>
          <w:rFonts w:cs="Arial"/>
        </w:rPr>
        <w:t xml:space="preserve">available for older people, </w:t>
      </w:r>
      <w:r w:rsidR="00165750">
        <w:rPr>
          <w:rFonts w:cs="Arial"/>
        </w:rPr>
        <w:t xml:space="preserve">and </w:t>
      </w:r>
      <w:r w:rsidR="000D18B4" w:rsidRPr="009F0174">
        <w:rPr>
          <w:rFonts w:cs="Arial"/>
        </w:rPr>
        <w:t xml:space="preserve">the legislative and policy context for housing for </w:t>
      </w:r>
      <w:r w:rsidR="000D18B4">
        <w:rPr>
          <w:rFonts w:cs="Arial"/>
        </w:rPr>
        <w:t>older</w:t>
      </w:r>
      <w:r w:rsidR="000D18B4" w:rsidRPr="009F0174">
        <w:rPr>
          <w:rFonts w:cs="Arial"/>
        </w:rPr>
        <w:t xml:space="preserve"> Queenslanders. </w:t>
      </w:r>
      <w:r w:rsidR="00165750">
        <w:rPr>
          <w:rFonts w:cs="Arial"/>
        </w:rPr>
        <w:t>A literature search and r</w:t>
      </w:r>
      <w:r w:rsidR="000D18B4">
        <w:rPr>
          <w:rFonts w:cs="Arial"/>
        </w:rPr>
        <w:t xml:space="preserve">esearch into </w:t>
      </w:r>
      <w:r w:rsidR="000D18B4" w:rsidRPr="00D16DAE">
        <w:rPr>
          <w:rFonts w:cs="Arial"/>
        </w:rPr>
        <w:t xml:space="preserve">approaches </w:t>
      </w:r>
      <w:r>
        <w:rPr>
          <w:rFonts w:cs="Arial"/>
        </w:rPr>
        <w:t>by</w:t>
      </w:r>
      <w:r w:rsidR="000D18B4">
        <w:rPr>
          <w:rFonts w:cs="Arial"/>
        </w:rPr>
        <w:t xml:space="preserve"> interstate jurisdictions,</w:t>
      </w:r>
      <w:r w:rsidR="000D18B4" w:rsidRPr="00D16DAE">
        <w:rPr>
          <w:rFonts w:cs="Arial"/>
        </w:rPr>
        <w:t xml:space="preserve"> </w:t>
      </w:r>
      <w:r>
        <w:rPr>
          <w:rFonts w:cs="Arial"/>
        </w:rPr>
        <w:t>other countries’ experiences</w:t>
      </w:r>
      <w:r w:rsidR="000D18B4" w:rsidRPr="00D16DAE">
        <w:rPr>
          <w:rFonts w:cs="Arial"/>
        </w:rPr>
        <w:t>, and existing government responses</w:t>
      </w:r>
      <w:r>
        <w:rPr>
          <w:rFonts w:cs="Arial"/>
        </w:rPr>
        <w:t xml:space="preserve"> further informed the Taskforce</w:t>
      </w:r>
      <w:r w:rsidR="000D18B4">
        <w:rPr>
          <w:rFonts w:cs="Arial"/>
        </w:rPr>
        <w:t xml:space="preserve">.  </w:t>
      </w:r>
      <w:r w:rsidR="000D18B4">
        <w:rPr>
          <w:rFonts w:cs="Arial"/>
        </w:rPr>
        <w:br w:type="page"/>
      </w:r>
    </w:p>
    <w:p w14:paraId="6AA5235E" w14:textId="46E23343" w:rsidR="000D18B4" w:rsidRDefault="000D18B4" w:rsidP="000D18B4">
      <w:pPr>
        <w:rPr>
          <w:rFonts w:cs="Arial"/>
        </w:rPr>
      </w:pPr>
    </w:p>
    <w:p w14:paraId="3A5082EA" w14:textId="536426BE" w:rsidR="000D18B4" w:rsidRPr="00617952" w:rsidRDefault="000D18B4" w:rsidP="000D18B4">
      <w:pPr>
        <w:pStyle w:val="Heading1"/>
      </w:pPr>
      <w:bookmarkStart w:id="197" w:name="_Toc457242109"/>
      <w:bookmarkStart w:id="198" w:name="_Toc457242491"/>
      <w:bookmarkStart w:id="199" w:name="_Toc457242874"/>
      <w:bookmarkStart w:id="200" w:name="_Toc457243257"/>
      <w:bookmarkStart w:id="201" w:name="_Toc457243633"/>
      <w:bookmarkStart w:id="202" w:name="_Toc457244015"/>
      <w:bookmarkStart w:id="203" w:name="_Toc457244393"/>
      <w:bookmarkStart w:id="204" w:name="_Toc457244773"/>
      <w:bookmarkStart w:id="205" w:name="_Toc457245146"/>
      <w:bookmarkStart w:id="206" w:name="_Toc457245517"/>
      <w:bookmarkStart w:id="207" w:name="_Toc457245886"/>
      <w:bookmarkStart w:id="208" w:name="_Toc457246225"/>
      <w:bookmarkStart w:id="209" w:name="_Toc457288678"/>
      <w:bookmarkStart w:id="210" w:name="_Toc457290499"/>
      <w:bookmarkStart w:id="211" w:name="_Toc457398848"/>
      <w:bookmarkStart w:id="212" w:name="_Toc457458581"/>
      <w:bookmarkStart w:id="213" w:name="_Toc457467881"/>
      <w:bookmarkStart w:id="214" w:name="_Toc457482890"/>
      <w:bookmarkStart w:id="215" w:name="_Toc457483282"/>
      <w:bookmarkStart w:id="216" w:name="_Toc457506199"/>
      <w:bookmarkStart w:id="217" w:name="_Toc457512226"/>
      <w:bookmarkStart w:id="218" w:name="_Toc457242110"/>
      <w:bookmarkStart w:id="219" w:name="_Toc457242492"/>
      <w:bookmarkStart w:id="220" w:name="_Toc457242875"/>
      <w:bookmarkStart w:id="221" w:name="_Toc457243258"/>
      <w:bookmarkStart w:id="222" w:name="_Toc457243634"/>
      <w:bookmarkStart w:id="223" w:name="_Toc457244016"/>
      <w:bookmarkStart w:id="224" w:name="_Toc457244394"/>
      <w:bookmarkStart w:id="225" w:name="_Toc457244774"/>
      <w:bookmarkStart w:id="226" w:name="_Toc457245147"/>
      <w:bookmarkStart w:id="227" w:name="_Toc457245518"/>
      <w:bookmarkStart w:id="228" w:name="_Toc457245887"/>
      <w:bookmarkStart w:id="229" w:name="_Toc457246226"/>
      <w:bookmarkStart w:id="230" w:name="_Toc457288679"/>
      <w:bookmarkStart w:id="231" w:name="_Toc457290500"/>
      <w:bookmarkStart w:id="232" w:name="_Toc457398849"/>
      <w:bookmarkStart w:id="233" w:name="_Toc457458582"/>
      <w:bookmarkStart w:id="234" w:name="_Toc457467882"/>
      <w:bookmarkStart w:id="235" w:name="_Toc457482891"/>
      <w:bookmarkStart w:id="236" w:name="_Toc457483283"/>
      <w:bookmarkStart w:id="237" w:name="_Toc457506200"/>
      <w:bookmarkStart w:id="238" w:name="_Toc457512227"/>
      <w:bookmarkStart w:id="239" w:name="_Toc460257488"/>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5C7C5B">
        <w:t>BACKGROUND</w:t>
      </w:r>
      <w:bookmarkEnd w:id="239"/>
    </w:p>
    <w:p w14:paraId="3DBB1FD4" w14:textId="1DB7E41B" w:rsidR="000D18B4" w:rsidRDefault="000D18B4" w:rsidP="000D18B4">
      <w:pPr>
        <w:pStyle w:val="Heading2"/>
      </w:pPr>
      <w:bookmarkStart w:id="240" w:name="_Toc460257489"/>
      <w:r w:rsidRPr="009F0174">
        <w:t xml:space="preserve">Demographic and </w:t>
      </w:r>
      <w:r w:rsidR="00743207">
        <w:t>h</w:t>
      </w:r>
      <w:r w:rsidRPr="009F0174">
        <w:t xml:space="preserve">ousing </w:t>
      </w:r>
      <w:r w:rsidR="00743207">
        <w:t>t</w:t>
      </w:r>
      <w:r w:rsidRPr="009F0174">
        <w:t>rends</w:t>
      </w:r>
      <w:bookmarkEnd w:id="240"/>
    </w:p>
    <w:p w14:paraId="4EC0D32B" w14:textId="262270CF" w:rsidR="000D18B4" w:rsidRPr="004B1B88" w:rsidRDefault="000D18B4" w:rsidP="004B1B88">
      <w:pPr>
        <w:pStyle w:val="Heading3"/>
        <w:rPr>
          <w:color w:val="365F91" w:themeColor="accent1" w:themeShade="BF"/>
          <w:sz w:val="26"/>
          <w:szCs w:val="26"/>
        </w:rPr>
      </w:pPr>
      <w:bookmarkStart w:id="241" w:name="_Toc457242114"/>
      <w:bookmarkStart w:id="242" w:name="_Toc457242496"/>
      <w:bookmarkStart w:id="243" w:name="_Toc457242879"/>
      <w:bookmarkStart w:id="244" w:name="_Toc457243262"/>
      <w:bookmarkStart w:id="245" w:name="_Toc457243638"/>
      <w:bookmarkStart w:id="246" w:name="_Toc457244020"/>
      <w:bookmarkStart w:id="247" w:name="_Toc457244398"/>
      <w:bookmarkStart w:id="248" w:name="_Toc457244778"/>
      <w:bookmarkStart w:id="249" w:name="_Toc457245151"/>
      <w:bookmarkStart w:id="250" w:name="_Toc457245522"/>
      <w:bookmarkStart w:id="251" w:name="_Toc457245891"/>
      <w:bookmarkStart w:id="252" w:name="_Toc457246230"/>
      <w:bookmarkStart w:id="253" w:name="_Toc457288683"/>
      <w:bookmarkStart w:id="254" w:name="_Toc457290504"/>
      <w:bookmarkStart w:id="255" w:name="_Toc457398853"/>
      <w:bookmarkStart w:id="256" w:name="_Toc457458586"/>
      <w:bookmarkStart w:id="257" w:name="_Toc457467886"/>
      <w:bookmarkStart w:id="258" w:name="_Toc457482895"/>
      <w:bookmarkStart w:id="259" w:name="_Toc457483287"/>
      <w:bookmarkStart w:id="260" w:name="_Toc457506204"/>
      <w:bookmarkStart w:id="261" w:name="_Toc457512231"/>
      <w:bookmarkStart w:id="262" w:name="_Toc46025749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4B1B88">
        <w:rPr>
          <w:color w:val="365F91" w:themeColor="accent1" w:themeShade="BF"/>
          <w:sz w:val="26"/>
          <w:szCs w:val="26"/>
        </w:rPr>
        <w:t xml:space="preserve">An </w:t>
      </w:r>
      <w:r w:rsidR="00743207" w:rsidRPr="004B1B88">
        <w:rPr>
          <w:color w:val="365F91" w:themeColor="accent1" w:themeShade="BF"/>
          <w:sz w:val="26"/>
          <w:szCs w:val="26"/>
        </w:rPr>
        <w:t>a</w:t>
      </w:r>
      <w:r w:rsidRPr="004B1B88">
        <w:rPr>
          <w:color w:val="365F91" w:themeColor="accent1" w:themeShade="BF"/>
          <w:sz w:val="26"/>
          <w:szCs w:val="26"/>
        </w:rPr>
        <w:t xml:space="preserve">geing </w:t>
      </w:r>
      <w:r w:rsidR="00743207" w:rsidRPr="004B1B88">
        <w:rPr>
          <w:color w:val="365F91" w:themeColor="accent1" w:themeShade="BF"/>
          <w:sz w:val="26"/>
          <w:szCs w:val="26"/>
        </w:rPr>
        <w:t>p</w:t>
      </w:r>
      <w:r w:rsidRPr="004B1B88">
        <w:rPr>
          <w:color w:val="365F91" w:themeColor="accent1" w:themeShade="BF"/>
          <w:sz w:val="26"/>
          <w:szCs w:val="26"/>
        </w:rPr>
        <w:t>opulation</w:t>
      </w:r>
      <w:bookmarkEnd w:id="262"/>
    </w:p>
    <w:p w14:paraId="5671F994" w14:textId="36098C9C" w:rsidR="000D18B4" w:rsidRDefault="000D18B4" w:rsidP="000D18B4">
      <w:pPr>
        <w:rPr>
          <w:rFonts w:cs="Arial"/>
        </w:rPr>
      </w:pPr>
      <w:r w:rsidRPr="009F0174">
        <w:rPr>
          <w:rFonts w:cs="Arial"/>
        </w:rPr>
        <w:t xml:space="preserve">Queenslanders </w:t>
      </w:r>
      <w:r w:rsidR="00221A15">
        <w:rPr>
          <w:rFonts w:cs="Arial"/>
        </w:rPr>
        <w:t xml:space="preserve">today </w:t>
      </w:r>
      <w:r w:rsidRPr="009F0174">
        <w:rPr>
          <w:rFonts w:cs="Arial"/>
        </w:rPr>
        <w:t xml:space="preserve">are living longer, working longer and leading more active lives. </w:t>
      </w:r>
      <w:r>
        <w:rPr>
          <w:rFonts w:cs="Arial"/>
        </w:rPr>
        <w:t xml:space="preserve">Increased life </w:t>
      </w:r>
      <w:r w:rsidRPr="002A0A3C">
        <w:t>expectancy</w:t>
      </w:r>
      <w:r>
        <w:rPr>
          <w:rFonts w:cs="Arial"/>
        </w:rPr>
        <w:t xml:space="preserve"> </w:t>
      </w:r>
      <w:r w:rsidR="00E8280F">
        <w:rPr>
          <w:rFonts w:cs="Arial"/>
        </w:rPr>
        <w:t>and a</w:t>
      </w:r>
      <w:r w:rsidRPr="009F0174">
        <w:rPr>
          <w:rFonts w:cs="Arial"/>
        </w:rPr>
        <w:t xml:space="preserve"> decreasing birth-rate</w:t>
      </w:r>
      <w:r>
        <w:rPr>
          <w:rFonts w:cs="Arial"/>
        </w:rPr>
        <w:t xml:space="preserve"> </w:t>
      </w:r>
      <w:r w:rsidR="00E8280F">
        <w:rPr>
          <w:rFonts w:cs="Arial"/>
        </w:rPr>
        <w:t xml:space="preserve">is </w:t>
      </w:r>
      <w:r>
        <w:rPr>
          <w:rFonts w:cs="Arial"/>
        </w:rPr>
        <w:t>result</w:t>
      </w:r>
      <w:r w:rsidR="00E8280F">
        <w:rPr>
          <w:rFonts w:cs="Arial"/>
        </w:rPr>
        <w:t>ing</w:t>
      </w:r>
      <w:r>
        <w:rPr>
          <w:rFonts w:cs="Arial"/>
        </w:rPr>
        <w:t xml:space="preserve"> in </w:t>
      </w:r>
      <w:r w:rsidR="00E8280F">
        <w:rPr>
          <w:rFonts w:cs="Arial"/>
        </w:rPr>
        <w:t xml:space="preserve">an </w:t>
      </w:r>
      <w:r>
        <w:rPr>
          <w:rFonts w:cs="Arial"/>
        </w:rPr>
        <w:t>ageing of the population. I</w:t>
      </w:r>
      <w:r w:rsidRPr="009F0174">
        <w:rPr>
          <w:rFonts w:cs="Arial"/>
        </w:rPr>
        <w:t xml:space="preserve">t is estimated that </w:t>
      </w:r>
      <w:r>
        <w:rPr>
          <w:rFonts w:cs="Arial"/>
        </w:rPr>
        <w:t>almost a quarter</w:t>
      </w:r>
      <w:r w:rsidRPr="009F0174">
        <w:rPr>
          <w:rFonts w:cs="Arial"/>
        </w:rPr>
        <w:t xml:space="preserve"> of the state’s population will be aged 65 years </w:t>
      </w:r>
      <w:r w:rsidR="00E8280F">
        <w:rPr>
          <w:rFonts w:cs="Arial"/>
        </w:rPr>
        <w:t>or</w:t>
      </w:r>
      <w:r w:rsidR="00E8280F" w:rsidRPr="009F0174">
        <w:rPr>
          <w:rFonts w:cs="Arial"/>
        </w:rPr>
        <w:t xml:space="preserve"> </w:t>
      </w:r>
      <w:r w:rsidR="00FB58D6">
        <w:rPr>
          <w:rFonts w:cs="Arial"/>
        </w:rPr>
        <w:t xml:space="preserve">older </w:t>
      </w:r>
      <w:r>
        <w:rPr>
          <w:rFonts w:cs="Arial"/>
        </w:rPr>
        <w:t xml:space="preserve">by </w:t>
      </w:r>
      <w:r w:rsidR="0032726A">
        <w:rPr>
          <w:rFonts w:cs="Arial"/>
        </w:rPr>
        <w:t>2036</w:t>
      </w:r>
      <w:r w:rsidRPr="009F0174">
        <w:rPr>
          <w:rFonts w:cs="Arial"/>
        </w:rPr>
        <w:t xml:space="preserve">, and these individuals can look forward to many more years of life than </w:t>
      </w:r>
      <w:r w:rsidR="00E8280F" w:rsidRPr="009F0174">
        <w:rPr>
          <w:rFonts w:cs="Arial"/>
        </w:rPr>
        <w:t xml:space="preserve">previous </w:t>
      </w:r>
      <w:r w:rsidR="00E8280F">
        <w:rPr>
          <w:rFonts w:cs="Arial"/>
        </w:rPr>
        <w:t>generations</w:t>
      </w:r>
      <w:r w:rsidR="00E8280F" w:rsidRPr="009F0174">
        <w:rPr>
          <w:rFonts w:cs="Arial"/>
        </w:rPr>
        <w:t xml:space="preserve"> </w:t>
      </w:r>
      <w:r w:rsidRPr="009F0174">
        <w:rPr>
          <w:rFonts w:cs="Arial"/>
        </w:rPr>
        <w:t xml:space="preserve">could </w:t>
      </w:r>
      <w:r w:rsidR="00E8280F">
        <w:rPr>
          <w:rFonts w:cs="Arial"/>
        </w:rPr>
        <w:t>have</w:t>
      </w:r>
      <w:r w:rsidR="00E8280F" w:rsidRPr="009F0174">
        <w:rPr>
          <w:rFonts w:cs="Arial"/>
        </w:rPr>
        <w:t xml:space="preserve"> </w:t>
      </w:r>
      <w:r w:rsidRPr="009F0174">
        <w:rPr>
          <w:rFonts w:cs="Arial"/>
        </w:rPr>
        <w:t>expected.</w:t>
      </w:r>
      <w:r>
        <w:rPr>
          <w:rStyle w:val="FootnoteReference"/>
        </w:rPr>
        <w:footnoteReference w:id="6"/>
      </w:r>
      <w:r w:rsidR="0032726A">
        <w:rPr>
          <w:rFonts w:cs="Arial"/>
        </w:rPr>
        <w:t xml:space="preserve"> </w:t>
      </w:r>
    </w:p>
    <w:p w14:paraId="6D807E40" w14:textId="50A5BD86" w:rsidR="000D18B4" w:rsidRDefault="00C0171C" w:rsidP="00CA07D3">
      <w:pPr>
        <w:rPr>
          <w:rFonts w:cs="Arial"/>
        </w:rPr>
      </w:pPr>
      <w:r>
        <w:rPr>
          <w:rFonts w:cs="Arial"/>
        </w:rPr>
        <w:t xml:space="preserve">Figure 2 shows the </w:t>
      </w:r>
      <w:r w:rsidR="00E8280F">
        <w:rPr>
          <w:rFonts w:cs="Arial"/>
        </w:rPr>
        <w:t xml:space="preserve">expected </w:t>
      </w:r>
      <w:r>
        <w:rPr>
          <w:rFonts w:cs="Arial"/>
        </w:rPr>
        <w:t xml:space="preserve">increase </w:t>
      </w:r>
      <w:r w:rsidR="00E8280F">
        <w:rPr>
          <w:rFonts w:cs="Arial"/>
        </w:rPr>
        <w:t xml:space="preserve">in </w:t>
      </w:r>
      <w:r>
        <w:rPr>
          <w:rFonts w:cs="Arial"/>
        </w:rPr>
        <w:t xml:space="preserve">people aged 65 years </w:t>
      </w:r>
      <w:r w:rsidR="00E8280F">
        <w:rPr>
          <w:rFonts w:cs="Arial"/>
        </w:rPr>
        <w:t xml:space="preserve">or </w:t>
      </w:r>
      <w:r>
        <w:rPr>
          <w:rFonts w:cs="Arial"/>
        </w:rPr>
        <w:t>older</w:t>
      </w:r>
      <w:r w:rsidR="000D18B4">
        <w:rPr>
          <w:rFonts w:cs="Arial"/>
        </w:rPr>
        <w:t xml:space="preserve">. </w:t>
      </w:r>
      <w:r w:rsidR="00A07614">
        <w:rPr>
          <w:rFonts w:cs="Arial"/>
        </w:rPr>
        <w:t xml:space="preserve">It shows that about 1.8 million additional older people are projected to reside in Queensland by 2061 </w:t>
      </w:r>
      <w:r w:rsidR="00A07614" w:rsidRPr="00D16DAE">
        <w:rPr>
          <w:rFonts w:cs="Arial"/>
        </w:rPr>
        <w:t>—</w:t>
      </w:r>
      <w:r w:rsidR="00A07614">
        <w:rPr>
          <w:rFonts w:cs="Arial"/>
        </w:rPr>
        <w:t xml:space="preserve"> an increase</w:t>
      </w:r>
      <w:r w:rsidR="00A07614" w:rsidRPr="00D16DAE">
        <w:rPr>
          <w:rFonts w:cs="Arial"/>
        </w:rPr>
        <w:t xml:space="preserve"> roughly equivalent to the current population</w:t>
      </w:r>
      <w:r w:rsidR="00A07614">
        <w:rPr>
          <w:rFonts w:cs="Arial"/>
        </w:rPr>
        <w:t>s</w:t>
      </w:r>
      <w:r w:rsidR="00A07614" w:rsidRPr="00D16DAE">
        <w:rPr>
          <w:rFonts w:cs="Arial"/>
        </w:rPr>
        <w:t xml:space="preserve"> of Brisbane, Ipswich and Logan combined</w:t>
      </w:r>
      <w:r w:rsidR="00A07614">
        <w:rPr>
          <w:rFonts w:cs="Arial"/>
        </w:rPr>
        <w:t xml:space="preserve">. An </w:t>
      </w:r>
      <w:r w:rsidR="00A07614" w:rsidRPr="002A0A3C">
        <w:t>ageing</w:t>
      </w:r>
      <w:r w:rsidR="00A07614">
        <w:rPr>
          <w:rFonts w:cs="Arial"/>
        </w:rPr>
        <w:t xml:space="preserve"> population </w:t>
      </w:r>
      <w:r w:rsidR="00A07614" w:rsidRPr="009F0174">
        <w:rPr>
          <w:rFonts w:cs="Arial"/>
        </w:rPr>
        <w:t xml:space="preserve">has significant implications for housing </w:t>
      </w:r>
      <w:r w:rsidR="00A07614">
        <w:rPr>
          <w:rFonts w:cs="Arial"/>
        </w:rPr>
        <w:t xml:space="preserve">in </w:t>
      </w:r>
      <w:r w:rsidR="00A07614" w:rsidRPr="009F0174">
        <w:rPr>
          <w:rFonts w:cs="Arial"/>
        </w:rPr>
        <w:t>Queensland</w:t>
      </w:r>
      <w:r w:rsidR="00A07614">
        <w:rPr>
          <w:rFonts w:cs="Arial"/>
        </w:rPr>
        <w:t>, with different population groups having specific housing needs. Demand will increase for housing suitable for older people, such as</w:t>
      </w:r>
      <w:r w:rsidR="00A07614" w:rsidRPr="009F0174">
        <w:rPr>
          <w:rFonts w:cs="Arial"/>
        </w:rPr>
        <w:t xml:space="preserve"> modifiable</w:t>
      </w:r>
      <w:r w:rsidR="00A07614">
        <w:rPr>
          <w:rFonts w:cs="Arial"/>
        </w:rPr>
        <w:t>,</w:t>
      </w:r>
      <w:r w:rsidR="00A07614" w:rsidRPr="009F0174">
        <w:rPr>
          <w:rFonts w:cs="Arial"/>
        </w:rPr>
        <w:t xml:space="preserve"> low maintenance housing</w:t>
      </w:r>
      <w:r w:rsidR="00A07614">
        <w:rPr>
          <w:rFonts w:cs="Arial"/>
        </w:rPr>
        <w:t>,</w:t>
      </w:r>
      <w:r w:rsidR="00A07614" w:rsidRPr="009F0174">
        <w:rPr>
          <w:rFonts w:cs="Arial"/>
        </w:rPr>
        <w:t xml:space="preserve"> </w:t>
      </w:r>
      <w:r w:rsidR="00A07614">
        <w:t>housing for couples and/or singles</w:t>
      </w:r>
      <w:r w:rsidR="00A07614" w:rsidRPr="009F0174" w:rsidDel="00DE2091">
        <w:rPr>
          <w:rFonts w:cs="Arial"/>
        </w:rPr>
        <w:t xml:space="preserve"> </w:t>
      </w:r>
      <w:r w:rsidR="00A07614" w:rsidRPr="009F0174">
        <w:rPr>
          <w:rFonts w:cs="Arial"/>
        </w:rPr>
        <w:t xml:space="preserve">and </w:t>
      </w:r>
      <w:r w:rsidR="00A07614">
        <w:rPr>
          <w:rFonts w:cs="Arial"/>
        </w:rPr>
        <w:t xml:space="preserve">housing that provides easy access for </w:t>
      </w:r>
      <w:r w:rsidR="00A07614" w:rsidRPr="009F0174">
        <w:rPr>
          <w:rFonts w:cs="Arial"/>
        </w:rPr>
        <w:t>personal</w:t>
      </w:r>
      <w:r w:rsidR="00A07614" w:rsidRPr="009F0174">
        <w:t xml:space="preserve"> </w:t>
      </w:r>
      <w:r w:rsidR="00A07614" w:rsidRPr="0075125D">
        <w:t xml:space="preserve">assistance </w:t>
      </w:r>
      <w:r w:rsidR="00A07614">
        <w:t xml:space="preserve">and services. </w:t>
      </w:r>
      <w:r w:rsidR="000D18B4">
        <w:rPr>
          <w:rFonts w:cs="Arial"/>
        </w:rPr>
        <w:t xml:space="preserve">  </w:t>
      </w:r>
    </w:p>
    <w:p w14:paraId="1B58A72A" w14:textId="77777777" w:rsidR="000D18B4" w:rsidRDefault="000D18B4" w:rsidP="000D18B4">
      <w:pPr>
        <w:autoSpaceDE w:val="0"/>
        <w:autoSpaceDN w:val="0"/>
        <w:adjustRightInd w:val="0"/>
        <w:spacing w:after="0" w:line="240" w:lineRule="auto"/>
        <w:rPr>
          <w:rFonts w:ascii="Arial" w:hAnsi="Arial" w:cs="Arial"/>
          <w:sz w:val="19"/>
          <w:szCs w:val="19"/>
        </w:rPr>
      </w:pPr>
    </w:p>
    <w:p w14:paraId="3311C83B" w14:textId="08FD93A6" w:rsidR="000D18B4" w:rsidRDefault="000D18B4" w:rsidP="000D18B4">
      <w:pPr>
        <w:rPr>
          <w:rFonts w:cs="Arial"/>
        </w:rPr>
      </w:pPr>
      <w:r>
        <w:rPr>
          <w:rFonts w:cs="Arial"/>
          <w:b/>
        </w:rPr>
        <w:t xml:space="preserve">Figure </w:t>
      </w:r>
      <w:r w:rsidR="00396DF9">
        <w:rPr>
          <w:rFonts w:cs="Arial"/>
          <w:b/>
        </w:rPr>
        <w:t>2</w:t>
      </w:r>
      <w:r w:rsidRPr="004C1AE3">
        <w:rPr>
          <w:rFonts w:cs="Arial"/>
          <w:b/>
        </w:rPr>
        <w:t xml:space="preserve">:  </w:t>
      </w:r>
      <w:r w:rsidR="00F07353" w:rsidRPr="00F07353">
        <w:rPr>
          <w:rFonts w:cs="Arial"/>
          <w:b/>
        </w:rPr>
        <w:t xml:space="preserve">Actual and projected population aged 65 years and </w:t>
      </w:r>
      <w:r w:rsidR="00E6679A">
        <w:rPr>
          <w:rFonts w:cs="Arial"/>
          <w:b/>
        </w:rPr>
        <w:t>older</w:t>
      </w:r>
      <w:r w:rsidR="00F07353" w:rsidRPr="00F07353">
        <w:rPr>
          <w:rFonts w:cs="Arial"/>
          <w:b/>
        </w:rPr>
        <w:t xml:space="preserve">, </w:t>
      </w:r>
      <w:r w:rsidRPr="004C1AE3">
        <w:rPr>
          <w:rFonts w:cs="Arial"/>
          <w:b/>
        </w:rPr>
        <w:t>Queensland</w:t>
      </w:r>
      <w:r>
        <w:rPr>
          <w:rStyle w:val="FootnoteReference"/>
          <w:rFonts w:cs="Arial"/>
        </w:rPr>
        <w:footnoteReference w:id="7"/>
      </w:r>
    </w:p>
    <w:p w14:paraId="4C3B4E55" w14:textId="03160D11" w:rsidR="000D18B4" w:rsidRDefault="00F07353" w:rsidP="000D18B4">
      <w:pPr>
        <w:rPr>
          <w:rFonts w:cs="Arial"/>
        </w:rPr>
      </w:pPr>
      <w:r>
        <w:rPr>
          <w:rFonts w:cs="Arial"/>
          <w:noProof/>
          <w:lang w:eastAsia="en-AU"/>
        </w:rPr>
        <w:drawing>
          <wp:inline distT="0" distB="0" distL="0" distR="0" wp14:anchorId="6ECB02FC" wp14:editId="783EBBD1">
            <wp:extent cx="4260850" cy="301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4801" cy="3019022"/>
                    </a:xfrm>
                    <a:prstGeom prst="rect">
                      <a:avLst/>
                    </a:prstGeom>
                    <a:noFill/>
                  </pic:spPr>
                </pic:pic>
              </a:graphicData>
            </a:graphic>
          </wp:inline>
        </w:drawing>
      </w:r>
    </w:p>
    <w:p w14:paraId="1A38F6FC" w14:textId="73D427DB" w:rsidR="000D18B4" w:rsidRDefault="000D18B4" w:rsidP="000D18B4"/>
    <w:p w14:paraId="26AC009C" w14:textId="77777777" w:rsidR="001D4AA0" w:rsidRDefault="001D4AA0" w:rsidP="001D4AA0">
      <w:pPr>
        <w:rPr>
          <w:rFonts w:cs="Arial"/>
        </w:rPr>
      </w:pPr>
      <w:r>
        <w:rPr>
          <w:rFonts w:cs="Arial"/>
        </w:rPr>
        <w:t xml:space="preserve">According to the </w:t>
      </w:r>
      <w:r w:rsidRPr="001D4AA0">
        <w:rPr>
          <w:rFonts w:cs="Arial"/>
        </w:rPr>
        <w:t>Queensland Government Statisticians Office</w:t>
      </w:r>
      <w:r>
        <w:rPr>
          <w:rFonts w:cs="Arial"/>
        </w:rPr>
        <w:t xml:space="preserve">, people aged 65 years or older will </w:t>
      </w:r>
      <w:r w:rsidRPr="002A0A3C">
        <w:t>comprise</w:t>
      </w:r>
      <w:r>
        <w:rPr>
          <w:rFonts w:cs="Arial"/>
        </w:rPr>
        <w:t xml:space="preserve"> </w:t>
      </w:r>
      <w:r w:rsidRPr="00D16DAE">
        <w:rPr>
          <w:rFonts w:cs="Arial"/>
        </w:rPr>
        <w:t>24.2</w:t>
      </w:r>
      <w:r>
        <w:rPr>
          <w:rFonts w:cs="Arial"/>
        </w:rPr>
        <w:t xml:space="preserve"> per cent</w:t>
      </w:r>
      <w:r w:rsidRPr="00D16DAE">
        <w:rPr>
          <w:rFonts w:cs="Arial"/>
        </w:rPr>
        <w:t xml:space="preserve"> of the population</w:t>
      </w:r>
      <w:r>
        <w:rPr>
          <w:rFonts w:cs="Arial"/>
        </w:rPr>
        <w:t xml:space="preserve"> by 2036</w:t>
      </w:r>
      <w:r w:rsidRPr="00D16DAE">
        <w:rPr>
          <w:rFonts w:cs="Arial"/>
        </w:rPr>
        <w:t>, up from 14.0</w:t>
      </w:r>
      <w:r>
        <w:rPr>
          <w:rFonts w:cs="Arial"/>
        </w:rPr>
        <w:t xml:space="preserve"> per cent</w:t>
      </w:r>
      <w:r w:rsidRPr="00D16DAE">
        <w:rPr>
          <w:rFonts w:cs="Arial"/>
        </w:rPr>
        <w:t xml:space="preserve"> in 2014, while 6.0</w:t>
      </w:r>
      <w:r>
        <w:rPr>
          <w:rFonts w:cs="Arial"/>
        </w:rPr>
        <w:t xml:space="preserve"> per cent</w:t>
      </w:r>
      <w:r w:rsidRPr="00D16DAE">
        <w:rPr>
          <w:rFonts w:cs="Arial"/>
        </w:rPr>
        <w:t xml:space="preserve"> will be aged 85 years or older, up from 1.7</w:t>
      </w:r>
      <w:r>
        <w:rPr>
          <w:rFonts w:cs="Arial"/>
        </w:rPr>
        <w:t xml:space="preserve"> per cent</w:t>
      </w:r>
      <w:r w:rsidRPr="00D16DAE">
        <w:rPr>
          <w:rFonts w:cs="Arial"/>
        </w:rPr>
        <w:t xml:space="preserve"> in 2014.</w:t>
      </w:r>
      <w:r>
        <w:rPr>
          <w:rStyle w:val="FootnoteReference"/>
          <w:rFonts w:cs="Arial"/>
        </w:rPr>
        <w:footnoteReference w:id="8"/>
      </w:r>
      <w:r>
        <w:rPr>
          <w:rFonts w:cs="Arial"/>
        </w:rPr>
        <w:t xml:space="preserve"> </w:t>
      </w:r>
    </w:p>
    <w:p w14:paraId="75288654" w14:textId="77777777" w:rsidR="00A07614" w:rsidRPr="0075125D" w:rsidRDefault="00A07614" w:rsidP="00A07614">
      <w:r>
        <w:rPr>
          <w:rFonts w:cs="Arial"/>
        </w:rPr>
        <w:t xml:space="preserve">In 2015, women made up 53 per cent of Queenslanders aged 65 years or older and 63 per cent of </w:t>
      </w:r>
      <w:r w:rsidRPr="002A0A3C">
        <w:t>Queenslanders</w:t>
      </w:r>
      <w:r>
        <w:rPr>
          <w:rFonts w:cs="Arial"/>
        </w:rPr>
        <w:t xml:space="preserve"> aged 85 years or older. </w:t>
      </w:r>
      <w:r w:rsidRPr="004C1AE3">
        <w:rPr>
          <w:rFonts w:cs="Arial"/>
        </w:rPr>
        <w:t xml:space="preserve">Life expectancy for both male and female Australians increased notably over the 50 years to 2013. Females born in 2013 can expect to live, on average, 10.1 years </w:t>
      </w:r>
      <w:r w:rsidRPr="004C1AE3">
        <w:rPr>
          <w:rFonts w:cs="Arial"/>
        </w:rPr>
        <w:lastRenderedPageBreak/>
        <w:t>longer than females born in 1962 (up from 74.2 years to 84.3 years). Male life expectancy increased by 12.2 years over these same 50 years (from 67.9 years up to 80.1 years</w:t>
      </w:r>
      <w:r>
        <w:rPr>
          <w:rFonts w:ascii="Arial" w:hAnsi="Arial" w:cs="Arial"/>
          <w:sz w:val="19"/>
          <w:szCs w:val="19"/>
        </w:rPr>
        <w:t>).</w:t>
      </w:r>
      <w:r>
        <w:rPr>
          <w:rStyle w:val="FootnoteReference"/>
          <w:rFonts w:ascii="Arial" w:hAnsi="Arial" w:cs="Arial"/>
          <w:sz w:val="19"/>
          <w:szCs w:val="19"/>
        </w:rPr>
        <w:footnoteReference w:id="9"/>
      </w:r>
    </w:p>
    <w:p w14:paraId="1667EECD" w14:textId="43A865D9" w:rsidR="000D18B4" w:rsidRDefault="000D18B4" w:rsidP="009D21B0">
      <w:pPr>
        <w:rPr>
          <w:rFonts w:ascii="Arial" w:hAnsi="Arial" w:cs="Arial"/>
          <w:sz w:val="19"/>
          <w:szCs w:val="19"/>
        </w:rPr>
      </w:pPr>
      <w:r w:rsidRPr="004C1AE3">
        <w:rPr>
          <w:rFonts w:cs="Arial"/>
        </w:rPr>
        <w:t xml:space="preserve">The Aboriginal and Torres Strait Islander population </w:t>
      </w:r>
      <w:r w:rsidR="00DE2091">
        <w:rPr>
          <w:rFonts w:cs="Arial"/>
        </w:rPr>
        <w:t xml:space="preserve">in </w:t>
      </w:r>
      <w:r w:rsidR="00DE2091" w:rsidRPr="004C1AE3">
        <w:rPr>
          <w:rFonts w:cs="Arial"/>
        </w:rPr>
        <w:t xml:space="preserve">Queensland </w:t>
      </w:r>
      <w:r w:rsidRPr="004C1AE3">
        <w:rPr>
          <w:rFonts w:cs="Arial"/>
        </w:rPr>
        <w:t xml:space="preserve">has a younger age </w:t>
      </w:r>
      <w:r w:rsidRPr="002A0A3C">
        <w:t>structure</w:t>
      </w:r>
      <w:r w:rsidRPr="004C1AE3">
        <w:rPr>
          <w:rFonts w:cs="Arial"/>
        </w:rPr>
        <w:t xml:space="preserve"> than the non-Indigenous </w:t>
      </w:r>
      <w:r w:rsidRPr="00E820DE">
        <w:rPr>
          <w:rFonts w:cs="Arial"/>
        </w:rPr>
        <w:t xml:space="preserve">population. </w:t>
      </w:r>
      <w:r w:rsidR="00BD52A9">
        <w:rPr>
          <w:rFonts w:cs="Arial"/>
        </w:rPr>
        <w:t xml:space="preserve">In </w:t>
      </w:r>
      <w:r w:rsidR="00613F59">
        <w:rPr>
          <w:rFonts w:cs="Arial"/>
        </w:rPr>
        <w:t>2011</w:t>
      </w:r>
      <w:r w:rsidR="00BD52A9">
        <w:rPr>
          <w:rFonts w:cs="Arial"/>
        </w:rPr>
        <w:t>, o</w:t>
      </w:r>
      <w:r>
        <w:rPr>
          <w:rFonts w:cs="Arial"/>
        </w:rPr>
        <w:t>nly 3.4</w:t>
      </w:r>
      <w:r w:rsidR="003D64E0">
        <w:rPr>
          <w:rFonts w:cs="Arial"/>
        </w:rPr>
        <w:t xml:space="preserve"> per cent</w:t>
      </w:r>
      <w:r>
        <w:rPr>
          <w:rFonts w:cs="Arial"/>
        </w:rPr>
        <w:t xml:space="preserve"> of Aboriginal and Torres Strait Islander Queenslanders were 65 years </w:t>
      </w:r>
      <w:r w:rsidR="00DE2091">
        <w:rPr>
          <w:rFonts w:cs="Arial"/>
        </w:rPr>
        <w:t>or older</w:t>
      </w:r>
      <w:r>
        <w:rPr>
          <w:rFonts w:cs="Arial"/>
        </w:rPr>
        <w:t xml:space="preserve"> compared </w:t>
      </w:r>
      <w:r w:rsidR="00DE2091">
        <w:rPr>
          <w:rFonts w:cs="Arial"/>
        </w:rPr>
        <w:t xml:space="preserve">with </w:t>
      </w:r>
      <w:r>
        <w:rPr>
          <w:rFonts w:cs="Arial"/>
        </w:rPr>
        <w:t>14</w:t>
      </w:r>
      <w:r w:rsidR="003D64E0">
        <w:rPr>
          <w:rFonts w:cs="Arial"/>
        </w:rPr>
        <w:t xml:space="preserve"> per cent</w:t>
      </w:r>
      <w:r>
        <w:rPr>
          <w:rFonts w:cs="Arial"/>
        </w:rPr>
        <w:t xml:space="preserve"> of the non-Indigenous population. </w:t>
      </w:r>
      <w:r w:rsidR="00BD52A9">
        <w:rPr>
          <w:rFonts w:cs="Arial"/>
        </w:rPr>
        <w:t>By</w:t>
      </w:r>
      <w:r w:rsidRPr="004C1AE3">
        <w:rPr>
          <w:rFonts w:cs="Arial"/>
        </w:rPr>
        <w:t xml:space="preserve"> 2026, </w:t>
      </w:r>
      <w:r w:rsidR="00BD52A9">
        <w:rPr>
          <w:rFonts w:cs="Arial"/>
        </w:rPr>
        <w:t xml:space="preserve">the proportion of Aboriginal and Torres Strait Islander Queenslanders aged 65 or older is </w:t>
      </w:r>
      <w:r>
        <w:rPr>
          <w:rFonts w:cs="Arial"/>
        </w:rPr>
        <w:t xml:space="preserve">projected </w:t>
      </w:r>
      <w:r w:rsidR="00C403AF">
        <w:rPr>
          <w:rFonts w:cs="Arial"/>
        </w:rPr>
        <w:t xml:space="preserve">to </w:t>
      </w:r>
      <w:r w:rsidR="00BD52A9">
        <w:rPr>
          <w:rFonts w:cs="Arial"/>
        </w:rPr>
        <w:t>increase to</w:t>
      </w:r>
      <w:r w:rsidRPr="004C1AE3">
        <w:rPr>
          <w:rFonts w:cs="Arial"/>
        </w:rPr>
        <w:t xml:space="preserve"> 5.7</w:t>
      </w:r>
      <w:r w:rsidR="003D64E0">
        <w:rPr>
          <w:rFonts w:cs="Arial"/>
        </w:rPr>
        <w:t xml:space="preserve"> per cent</w:t>
      </w:r>
      <w:r>
        <w:rPr>
          <w:rFonts w:ascii="Arial" w:hAnsi="Arial" w:cs="Arial"/>
          <w:sz w:val="19"/>
          <w:szCs w:val="19"/>
        </w:rPr>
        <w:t>.</w:t>
      </w:r>
      <w:r>
        <w:rPr>
          <w:rStyle w:val="FootnoteReference"/>
          <w:rFonts w:ascii="Arial" w:hAnsi="Arial" w:cs="Arial"/>
          <w:sz w:val="19"/>
          <w:szCs w:val="19"/>
        </w:rPr>
        <w:footnoteReference w:id="10"/>
      </w:r>
    </w:p>
    <w:p w14:paraId="51B886F9" w14:textId="4F82AECF" w:rsidR="000D18B4" w:rsidRDefault="000D18B4" w:rsidP="000D18B4">
      <w:pPr>
        <w:rPr>
          <w:rFonts w:cs="Arial"/>
        </w:rPr>
      </w:pPr>
      <w:r w:rsidRPr="00D16DAE">
        <w:rPr>
          <w:rFonts w:cs="Arial"/>
        </w:rPr>
        <w:t xml:space="preserve">In 2011, </w:t>
      </w:r>
      <w:r>
        <w:rPr>
          <w:rFonts w:cs="Arial"/>
        </w:rPr>
        <w:t>28</w:t>
      </w:r>
      <w:r w:rsidR="003D64E0">
        <w:rPr>
          <w:rFonts w:cs="Arial"/>
        </w:rPr>
        <w:t xml:space="preserve"> per cent</w:t>
      </w:r>
      <w:r>
        <w:rPr>
          <w:rFonts w:cs="Arial"/>
        </w:rPr>
        <w:t xml:space="preserve"> of Queenslanders 65 years or older were born overseas with the United Kingdom and New </w:t>
      </w:r>
      <w:r w:rsidRPr="002A0A3C">
        <w:t>Zealand</w:t>
      </w:r>
      <w:r>
        <w:rPr>
          <w:rFonts w:cs="Arial"/>
        </w:rPr>
        <w:t xml:space="preserve"> the most common birthplaces.</w:t>
      </w:r>
      <w:r>
        <w:rPr>
          <w:rStyle w:val="FootnoteReference"/>
          <w:rFonts w:cs="Arial"/>
        </w:rPr>
        <w:footnoteReference w:id="11"/>
      </w:r>
      <w:r>
        <w:rPr>
          <w:rFonts w:cs="Arial"/>
        </w:rPr>
        <w:t xml:space="preserve"> However, </w:t>
      </w:r>
      <w:r w:rsidR="00C403AF">
        <w:rPr>
          <w:rFonts w:cs="Arial"/>
        </w:rPr>
        <w:t xml:space="preserve">the proportion of </w:t>
      </w:r>
      <w:r>
        <w:rPr>
          <w:rFonts w:cs="Arial"/>
        </w:rPr>
        <w:t xml:space="preserve">people from non-English speaking backgrounds </w:t>
      </w:r>
      <w:r w:rsidR="00C403AF">
        <w:rPr>
          <w:rFonts w:cs="Arial"/>
        </w:rPr>
        <w:t xml:space="preserve">is growing and they are an increasing </w:t>
      </w:r>
      <w:r>
        <w:rPr>
          <w:rFonts w:cs="Arial"/>
        </w:rPr>
        <w:t xml:space="preserve">cohort of older Queenslanders. </w:t>
      </w:r>
    </w:p>
    <w:p w14:paraId="2F1EDA78" w14:textId="63791FD3" w:rsidR="000D18B4" w:rsidRDefault="000D18B4" w:rsidP="000D18B4">
      <w:r w:rsidRPr="007D2C8F">
        <w:t>The Australian Bureau of Statistics’ Survey of Disability, Ageing and Carers showed that</w:t>
      </w:r>
      <w:r w:rsidR="00C403AF">
        <w:t>,</w:t>
      </w:r>
      <w:r w:rsidRPr="007D2C8F">
        <w:t xml:space="preserve"> in 2012, 51 per cent of Queenslanders over the age of 65 had some form of disability, 46 per cent had specific limitations or restrictions and 38 per cent needed assistance with personal activities.</w:t>
      </w:r>
      <w:r w:rsidRPr="007D2C8F">
        <w:rPr>
          <w:vertAlign w:val="superscript"/>
        </w:rPr>
        <w:footnoteReference w:id="12"/>
      </w:r>
    </w:p>
    <w:p w14:paraId="4DB00988" w14:textId="4510BF4C" w:rsidR="000D18B4" w:rsidRPr="004B1B88" w:rsidRDefault="000D18B4" w:rsidP="004B1B88">
      <w:pPr>
        <w:pStyle w:val="Heading3"/>
        <w:rPr>
          <w:color w:val="365F91" w:themeColor="accent1" w:themeShade="BF"/>
          <w:sz w:val="26"/>
          <w:szCs w:val="26"/>
        </w:rPr>
      </w:pPr>
      <w:bookmarkStart w:id="263" w:name="_Toc457288687"/>
      <w:bookmarkStart w:id="264" w:name="_Toc457290508"/>
      <w:bookmarkStart w:id="265" w:name="_Toc457398857"/>
      <w:bookmarkStart w:id="266" w:name="_Toc457458590"/>
      <w:bookmarkStart w:id="267" w:name="_Toc457467890"/>
      <w:bookmarkStart w:id="268" w:name="_Toc457482899"/>
      <w:bookmarkStart w:id="269" w:name="_Toc457483291"/>
      <w:bookmarkStart w:id="270" w:name="_Toc457506208"/>
      <w:bookmarkStart w:id="271" w:name="_Toc457512235"/>
      <w:bookmarkStart w:id="272" w:name="_Toc457288688"/>
      <w:bookmarkStart w:id="273" w:name="_Toc457290509"/>
      <w:bookmarkStart w:id="274" w:name="_Toc457398858"/>
      <w:bookmarkStart w:id="275" w:name="_Toc457458591"/>
      <w:bookmarkStart w:id="276" w:name="_Toc457467891"/>
      <w:bookmarkStart w:id="277" w:name="_Toc457482900"/>
      <w:bookmarkStart w:id="278" w:name="_Toc457483292"/>
      <w:bookmarkStart w:id="279" w:name="_Toc457506209"/>
      <w:bookmarkStart w:id="280" w:name="_Toc457512236"/>
      <w:bookmarkStart w:id="281" w:name="_Toc46025749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4B1B88">
        <w:rPr>
          <w:color w:val="365F91" w:themeColor="accent1" w:themeShade="BF"/>
          <w:sz w:val="26"/>
          <w:szCs w:val="26"/>
        </w:rPr>
        <w:t>Housing tenure</w:t>
      </w:r>
      <w:bookmarkEnd w:id="281"/>
    </w:p>
    <w:p w14:paraId="756A7B5F" w14:textId="3854782A" w:rsidR="000D18B4" w:rsidRPr="009F0174" w:rsidRDefault="00D62BA0" w:rsidP="000D18B4">
      <w:r>
        <w:t>Most</w:t>
      </w:r>
      <w:r w:rsidR="000D18B4">
        <w:t xml:space="preserve"> older people </w:t>
      </w:r>
      <w:r>
        <w:t>live in</w:t>
      </w:r>
      <w:r w:rsidR="000D18B4">
        <w:t xml:space="preserve"> housing in the private market</w:t>
      </w:r>
      <w:r>
        <w:t xml:space="preserve">, such as </w:t>
      </w:r>
      <w:r w:rsidR="000D18B4">
        <w:t xml:space="preserve">home ownership or private </w:t>
      </w:r>
      <w:r w:rsidR="00221A15">
        <w:t>rentals</w:t>
      </w:r>
      <w:r w:rsidR="000D18B4">
        <w:t xml:space="preserve">. </w:t>
      </w:r>
      <w:r w:rsidR="00D314B5">
        <w:t xml:space="preserve">Data from the 2011 Census </w:t>
      </w:r>
      <w:r>
        <w:t xml:space="preserve">(Figure 3) </w:t>
      </w:r>
      <w:r w:rsidR="00C0171C">
        <w:t xml:space="preserve">show </w:t>
      </w:r>
      <w:r w:rsidR="000D18B4">
        <w:t xml:space="preserve">that for </w:t>
      </w:r>
      <w:r w:rsidR="000D18B4" w:rsidRPr="009F0174">
        <w:t xml:space="preserve">people aged 65 years </w:t>
      </w:r>
      <w:r w:rsidR="00221A15">
        <w:t>or</w:t>
      </w:r>
      <w:r w:rsidR="00221A15" w:rsidRPr="009F0174">
        <w:t xml:space="preserve"> </w:t>
      </w:r>
      <w:r>
        <w:t xml:space="preserve">older </w:t>
      </w:r>
      <w:r w:rsidR="000D18B4">
        <w:t>in Queensland</w:t>
      </w:r>
      <w:r w:rsidR="00221A15">
        <w:t>:</w:t>
      </w:r>
      <w:r w:rsidR="00C0171C">
        <w:rPr>
          <w:rStyle w:val="FootnoteReference"/>
        </w:rPr>
        <w:footnoteReference w:id="13"/>
      </w:r>
      <w:r w:rsidR="00D64EDF">
        <w:t xml:space="preserve"> </w:t>
      </w:r>
      <w:r w:rsidR="00D64EDF">
        <w:rPr>
          <w:rStyle w:val="FootnoteReference"/>
        </w:rPr>
        <w:footnoteReference w:id="14"/>
      </w:r>
    </w:p>
    <w:p w14:paraId="110BEAF8" w14:textId="10AD2EF6" w:rsidR="000D18B4" w:rsidRPr="00122096" w:rsidRDefault="00221A15" w:rsidP="000D18B4">
      <w:pPr>
        <w:numPr>
          <w:ilvl w:val="0"/>
          <w:numId w:val="1"/>
        </w:numPr>
        <w:spacing w:after="200" w:line="276" w:lineRule="auto"/>
        <w:ind w:left="709"/>
        <w:contextualSpacing/>
        <w:rPr>
          <w:rFonts w:cs="Arial"/>
        </w:rPr>
      </w:pPr>
      <w:r>
        <w:rPr>
          <w:rFonts w:cs="Arial"/>
        </w:rPr>
        <w:t>m</w:t>
      </w:r>
      <w:r w:rsidR="00D62BA0">
        <w:rPr>
          <w:rFonts w:cs="Arial"/>
        </w:rPr>
        <w:t>ost</w:t>
      </w:r>
      <w:r w:rsidR="000D18B4" w:rsidRPr="00122096">
        <w:rPr>
          <w:rFonts w:cs="Arial"/>
        </w:rPr>
        <w:t xml:space="preserve"> own their own home outright (66</w:t>
      </w:r>
      <w:r w:rsidR="003D64E0">
        <w:rPr>
          <w:rFonts w:cs="Arial"/>
        </w:rPr>
        <w:t xml:space="preserve"> per cent</w:t>
      </w:r>
      <w:r w:rsidR="000D18B4" w:rsidRPr="00122096">
        <w:rPr>
          <w:rFonts w:cs="Arial"/>
        </w:rPr>
        <w:t>), or have a mortgage on their own home (11</w:t>
      </w:r>
      <w:r w:rsidR="003D64E0">
        <w:rPr>
          <w:rFonts w:cs="Arial"/>
        </w:rPr>
        <w:t xml:space="preserve"> per cent</w:t>
      </w:r>
      <w:r w:rsidR="000D18B4" w:rsidRPr="00122096">
        <w:rPr>
          <w:rFonts w:cs="Arial"/>
        </w:rPr>
        <w:t>)</w:t>
      </w:r>
    </w:p>
    <w:p w14:paraId="1141DE86" w14:textId="396FE784" w:rsidR="000D18B4" w:rsidRPr="009F0174" w:rsidRDefault="00221A15" w:rsidP="000D18B4">
      <w:pPr>
        <w:numPr>
          <w:ilvl w:val="0"/>
          <w:numId w:val="1"/>
        </w:numPr>
        <w:spacing w:after="200" w:line="276" w:lineRule="auto"/>
        <w:ind w:left="709"/>
        <w:contextualSpacing/>
        <w:rPr>
          <w:rFonts w:cs="Arial"/>
        </w:rPr>
      </w:pPr>
      <w:r>
        <w:rPr>
          <w:rFonts w:cs="Arial"/>
        </w:rPr>
        <w:t>a</w:t>
      </w:r>
      <w:r w:rsidR="000D18B4" w:rsidRPr="009F0174">
        <w:rPr>
          <w:rFonts w:cs="Arial"/>
        </w:rPr>
        <w:t xml:space="preserve"> further 9.6</w:t>
      </w:r>
      <w:r w:rsidR="003D64E0">
        <w:rPr>
          <w:rFonts w:cs="Arial"/>
        </w:rPr>
        <w:t xml:space="preserve"> per cent</w:t>
      </w:r>
      <w:r w:rsidR="000D18B4" w:rsidRPr="009F0174">
        <w:rPr>
          <w:rFonts w:cs="Arial"/>
        </w:rPr>
        <w:t xml:space="preserve"> rent their properties </w:t>
      </w:r>
      <w:r>
        <w:rPr>
          <w:rFonts w:cs="Arial"/>
        </w:rPr>
        <w:t>from</w:t>
      </w:r>
      <w:r w:rsidRPr="009F0174">
        <w:rPr>
          <w:rFonts w:cs="Arial"/>
        </w:rPr>
        <w:t xml:space="preserve"> </w:t>
      </w:r>
      <w:r w:rsidR="000D18B4" w:rsidRPr="009F0174">
        <w:rPr>
          <w:rFonts w:cs="Arial"/>
        </w:rPr>
        <w:t>the private rental market, while 4.4</w:t>
      </w:r>
      <w:r w:rsidR="003D64E0">
        <w:rPr>
          <w:rFonts w:cs="Arial"/>
        </w:rPr>
        <w:t xml:space="preserve"> per cent</w:t>
      </w:r>
      <w:r w:rsidR="000D18B4" w:rsidRPr="009F0174">
        <w:rPr>
          <w:rFonts w:cs="Arial"/>
        </w:rPr>
        <w:t xml:space="preserve"> are social housing tenants </w:t>
      </w:r>
    </w:p>
    <w:p w14:paraId="27027786" w14:textId="40A11074" w:rsidR="000D18B4" w:rsidRPr="005A22B7" w:rsidRDefault="000D18B4" w:rsidP="000D18B4">
      <w:pPr>
        <w:numPr>
          <w:ilvl w:val="0"/>
          <w:numId w:val="1"/>
        </w:numPr>
        <w:spacing w:after="200" w:line="276" w:lineRule="auto"/>
        <w:ind w:left="709"/>
        <w:contextualSpacing/>
        <w:rPr>
          <w:rFonts w:cs="Arial"/>
        </w:rPr>
      </w:pPr>
      <w:r w:rsidRPr="005A22B7">
        <w:rPr>
          <w:rFonts w:cs="Arial"/>
        </w:rPr>
        <w:t>4.5</w:t>
      </w:r>
      <w:r w:rsidR="003D64E0">
        <w:rPr>
          <w:rFonts w:cs="Arial"/>
        </w:rPr>
        <w:t xml:space="preserve"> per cent</w:t>
      </w:r>
      <w:r w:rsidRPr="005A22B7">
        <w:rPr>
          <w:rFonts w:cs="Arial"/>
        </w:rPr>
        <w:t xml:space="preserve"> live in </w:t>
      </w:r>
      <w:r>
        <w:rPr>
          <w:rFonts w:cs="Arial"/>
        </w:rPr>
        <w:t>r</w:t>
      </w:r>
      <w:r w:rsidRPr="005A22B7">
        <w:rPr>
          <w:rFonts w:cs="Arial"/>
        </w:rPr>
        <w:t xml:space="preserve">etirement </w:t>
      </w:r>
      <w:r>
        <w:rPr>
          <w:rFonts w:cs="Arial"/>
        </w:rPr>
        <w:t>v</w:t>
      </w:r>
      <w:r w:rsidRPr="005A22B7">
        <w:rPr>
          <w:rFonts w:cs="Arial"/>
        </w:rPr>
        <w:t>illages</w:t>
      </w:r>
      <w:r w:rsidR="00221A15">
        <w:rPr>
          <w:rFonts w:cs="Arial"/>
        </w:rPr>
        <w:t xml:space="preserve"> (</w:t>
      </w:r>
      <w:r w:rsidR="001D1C56">
        <w:rPr>
          <w:rFonts w:cs="Arial"/>
        </w:rPr>
        <w:t>t</w:t>
      </w:r>
      <w:r w:rsidRPr="005A22B7">
        <w:rPr>
          <w:rFonts w:cs="Arial"/>
        </w:rPr>
        <w:t xml:space="preserve">here are </w:t>
      </w:r>
      <w:r w:rsidRPr="004C1AE3">
        <w:rPr>
          <w:rFonts w:cs="Arial"/>
        </w:rPr>
        <w:t>309 registered retirement village schemes</w:t>
      </w:r>
      <w:r>
        <w:rPr>
          <w:rFonts w:cs="Arial"/>
        </w:rPr>
        <w:t xml:space="preserve"> in Queensland</w:t>
      </w:r>
      <w:r w:rsidRPr="004C1AE3">
        <w:rPr>
          <w:rFonts w:cs="Arial"/>
        </w:rPr>
        <w:t xml:space="preserve"> accommodating an estimated 42,000 older Queenslan</w:t>
      </w:r>
      <w:r>
        <w:rPr>
          <w:rFonts w:cs="Arial"/>
        </w:rPr>
        <w:t>d residents</w:t>
      </w:r>
      <w:r w:rsidR="001D1C56">
        <w:rPr>
          <w:rFonts w:cs="Arial"/>
        </w:rPr>
        <w:t>)</w:t>
      </w:r>
      <w:r>
        <w:rPr>
          <w:rFonts w:cs="Arial"/>
        </w:rPr>
        <w:t xml:space="preserve"> </w:t>
      </w:r>
      <w:r w:rsidRPr="004C1AE3">
        <w:rPr>
          <w:rFonts w:cs="Arial"/>
        </w:rPr>
        <w:t xml:space="preserve"> </w:t>
      </w:r>
    </w:p>
    <w:p w14:paraId="24B0160A" w14:textId="4E099462" w:rsidR="000D18B4" w:rsidRPr="004C1AE3" w:rsidRDefault="000D18B4" w:rsidP="000D18B4">
      <w:pPr>
        <w:numPr>
          <w:ilvl w:val="0"/>
          <w:numId w:val="1"/>
        </w:numPr>
        <w:spacing w:after="200" w:line="276" w:lineRule="auto"/>
        <w:ind w:left="709"/>
        <w:contextualSpacing/>
        <w:rPr>
          <w:rFonts w:cs="Arial"/>
        </w:rPr>
      </w:pPr>
      <w:r w:rsidRPr="009F0174">
        <w:rPr>
          <w:rFonts w:cs="Arial"/>
        </w:rPr>
        <w:t>4.</w:t>
      </w:r>
      <w:r w:rsidR="002B6768">
        <w:rPr>
          <w:rFonts w:cs="Arial"/>
        </w:rPr>
        <w:t>3</w:t>
      </w:r>
      <w:r w:rsidR="003D64E0">
        <w:rPr>
          <w:rFonts w:cs="Arial"/>
        </w:rPr>
        <w:t xml:space="preserve"> per cent</w:t>
      </w:r>
      <w:r w:rsidRPr="009F0174">
        <w:rPr>
          <w:rFonts w:cs="Arial"/>
        </w:rPr>
        <w:t xml:space="preserve"> live in </w:t>
      </w:r>
      <w:r>
        <w:rPr>
          <w:rFonts w:cs="Arial"/>
        </w:rPr>
        <w:t>m</w:t>
      </w:r>
      <w:r w:rsidRPr="009F0174">
        <w:rPr>
          <w:rFonts w:cs="Arial"/>
        </w:rPr>
        <w:t xml:space="preserve">anufactured </w:t>
      </w:r>
      <w:r>
        <w:rPr>
          <w:rFonts w:cs="Arial"/>
        </w:rPr>
        <w:t>h</w:t>
      </w:r>
      <w:r w:rsidRPr="009F0174">
        <w:rPr>
          <w:rFonts w:cs="Arial"/>
        </w:rPr>
        <w:t>ome</w:t>
      </w:r>
      <w:r w:rsidR="002B6768">
        <w:rPr>
          <w:rFonts w:cs="Arial"/>
        </w:rPr>
        <w:t>s</w:t>
      </w:r>
      <w:r w:rsidRPr="009F0174">
        <w:rPr>
          <w:rFonts w:cs="Arial"/>
        </w:rPr>
        <w:t>, caravan parks or marinas</w:t>
      </w:r>
      <w:r w:rsidR="001D1C56">
        <w:rPr>
          <w:rFonts w:cs="Arial"/>
        </w:rPr>
        <w:t xml:space="preserve"> (t</w:t>
      </w:r>
      <w:r w:rsidRPr="004C1AE3">
        <w:rPr>
          <w:rFonts w:cs="Arial"/>
        </w:rPr>
        <w:t xml:space="preserve">here are approximately 24,200 </w:t>
      </w:r>
      <w:r w:rsidR="002B6768">
        <w:rPr>
          <w:rFonts w:cs="Arial"/>
        </w:rPr>
        <w:t>older Queenslanders</w:t>
      </w:r>
      <w:r w:rsidRPr="004C1AE3">
        <w:rPr>
          <w:rFonts w:cs="Arial"/>
        </w:rPr>
        <w:t xml:space="preserve"> living in an estimated 14,000 manufactured homes in 169 residential parks across Queensland</w:t>
      </w:r>
      <w:r w:rsidR="001D1C56">
        <w:rPr>
          <w:rFonts w:cs="Arial"/>
        </w:rPr>
        <w:t>)</w:t>
      </w:r>
      <w:r w:rsidRPr="004C1AE3">
        <w:rPr>
          <w:rFonts w:cs="Arial"/>
        </w:rPr>
        <w:t xml:space="preserve">. </w:t>
      </w:r>
    </w:p>
    <w:p w14:paraId="124A469E" w14:textId="77777777" w:rsidR="000D18B4" w:rsidRDefault="000D18B4" w:rsidP="000D18B4">
      <w:pPr>
        <w:spacing w:after="200" w:line="276" w:lineRule="auto"/>
        <w:ind w:left="709"/>
        <w:contextualSpacing/>
        <w:rPr>
          <w:rFonts w:cs="Arial"/>
        </w:rPr>
      </w:pPr>
      <w:r>
        <w:rPr>
          <w:rFonts w:cs="Arial"/>
        </w:rPr>
        <w:t xml:space="preserve"> </w:t>
      </w:r>
    </w:p>
    <w:tbl>
      <w:tblPr>
        <w:tblStyle w:val="TableGri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23"/>
      </w:tblGrid>
      <w:tr w:rsidR="00300EB9" w14:paraId="0617FABA" w14:textId="77777777" w:rsidTr="00DC7291">
        <w:trPr>
          <w:cantSplit/>
        </w:trPr>
        <w:tc>
          <w:tcPr>
            <w:tcW w:w="9548" w:type="dxa"/>
          </w:tcPr>
          <w:p w14:paraId="2950765C" w14:textId="020D037A" w:rsidR="00300EB9" w:rsidRPr="00DC7291" w:rsidRDefault="00300EB9" w:rsidP="000D18B4">
            <w:pPr>
              <w:spacing w:after="200" w:line="276" w:lineRule="auto"/>
              <w:contextualSpacing/>
              <w:rPr>
                <w:rFonts w:cs="Arial"/>
                <w:b/>
              </w:rPr>
            </w:pPr>
            <w:r w:rsidRPr="00DC7291">
              <w:rPr>
                <w:rFonts w:cs="Arial"/>
                <w:b/>
              </w:rPr>
              <w:lastRenderedPageBreak/>
              <w:t>Figure 3: Housing tenure of persons aged 65 years and over, Queensland</w:t>
            </w:r>
          </w:p>
          <w:p w14:paraId="0ED9790F" w14:textId="5B467AD8" w:rsidR="00300EB9" w:rsidRDefault="00300EB9" w:rsidP="000D18B4">
            <w:pPr>
              <w:spacing w:after="200" w:line="276" w:lineRule="auto"/>
              <w:contextualSpacing/>
              <w:rPr>
                <w:rFonts w:cs="Arial"/>
              </w:rPr>
            </w:pPr>
            <w:r w:rsidRPr="00897D7A">
              <w:rPr>
                <w:noProof/>
                <w:lang w:eastAsia="en-AU"/>
              </w:rPr>
              <w:drawing>
                <wp:inline distT="0" distB="0" distL="0" distR="0" wp14:anchorId="39E39DCA" wp14:editId="3F321B8E">
                  <wp:extent cx="4358640" cy="3161051"/>
                  <wp:effectExtent l="0" t="0" r="0" b="127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1541" t="8984" r="3568" b="1680"/>
                          <a:stretch/>
                        </pic:blipFill>
                        <pic:spPr bwMode="auto">
                          <a:xfrm>
                            <a:off x="0" y="0"/>
                            <a:ext cx="4419288" cy="3205035"/>
                          </a:xfrm>
                          <a:prstGeom prst="rect">
                            <a:avLst/>
                          </a:prstGeom>
                          <a:noFill/>
                          <a:ln>
                            <a:noFill/>
                          </a:ln>
                          <a:extLst>
                            <a:ext uri="{53640926-AAD7-44D8-BBD7-CCE9431645EC}">
                              <a14:shadowObscured xmlns:a14="http://schemas.microsoft.com/office/drawing/2010/main"/>
                            </a:ext>
                          </a:extLst>
                        </pic:spPr>
                      </pic:pic>
                    </a:graphicData>
                  </a:graphic>
                </wp:inline>
              </w:drawing>
            </w:r>
          </w:p>
          <w:p w14:paraId="7FD0BE0D" w14:textId="77777777" w:rsidR="00300EB9" w:rsidRDefault="00300EB9" w:rsidP="000D18B4">
            <w:pPr>
              <w:spacing w:after="200" w:line="276" w:lineRule="auto"/>
              <w:contextualSpacing/>
              <w:rPr>
                <w:rFonts w:cs="Arial"/>
              </w:rPr>
            </w:pPr>
          </w:p>
        </w:tc>
      </w:tr>
    </w:tbl>
    <w:p w14:paraId="03312821" w14:textId="77777777" w:rsidR="00300EB9" w:rsidRPr="004C1AE3" w:rsidRDefault="00300EB9" w:rsidP="000D18B4">
      <w:pPr>
        <w:spacing w:after="200" w:line="276" w:lineRule="auto"/>
        <w:ind w:left="709"/>
        <w:contextualSpacing/>
        <w:rPr>
          <w:rFonts w:cs="Arial"/>
        </w:rPr>
      </w:pPr>
    </w:p>
    <w:p w14:paraId="492B7E7A" w14:textId="089BB80F" w:rsidR="000D18B4" w:rsidRDefault="00D314B5" w:rsidP="009D21B0">
      <w:r>
        <w:rPr>
          <w:szCs w:val="24"/>
        </w:rPr>
        <w:t>Data</w:t>
      </w:r>
      <w:r w:rsidR="000D18B4" w:rsidRPr="004C1AE3">
        <w:rPr>
          <w:szCs w:val="24"/>
        </w:rPr>
        <w:t xml:space="preserve"> from the 2011 Census sho</w:t>
      </w:r>
      <w:r w:rsidR="000D18B4">
        <w:rPr>
          <w:szCs w:val="24"/>
        </w:rPr>
        <w:t xml:space="preserve">w that there were </w:t>
      </w:r>
      <w:r w:rsidR="00050165">
        <w:rPr>
          <w:szCs w:val="24"/>
        </w:rPr>
        <w:t xml:space="preserve">approximately </w:t>
      </w:r>
      <w:r w:rsidR="000D18B4" w:rsidRPr="009F0174">
        <w:t>3,4</w:t>
      </w:r>
      <w:r w:rsidR="00050165">
        <w:t>50</w:t>
      </w:r>
      <w:r w:rsidR="000D18B4" w:rsidRPr="009F0174">
        <w:t xml:space="preserve"> homeless people </w:t>
      </w:r>
      <w:r w:rsidR="00050165">
        <w:rPr>
          <w:szCs w:val="24"/>
        </w:rPr>
        <w:t xml:space="preserve">in Queensland </w:t>
      </w:r>
      <w:r w:rsidR="000D18B4" w:rsidRPr="009F0174">
        <w:t>over the age of 55</w:t>
      </w:r>
      <w:r w:rsidR="000D18B4">
        <w:t xml:space="preserve"> and </w:t>
      </w:r>
      <w:r w:rsidR="00050165">
        <w:t xml:space="preserve">approximately </w:t>
      </w:r>
      <w:r w:rsidR="000D18B4" w:rsidRPr="0075125D">
        <w:t>5,</w:t>
      </w:r>
      <w:r w:rsidR="00050165">
        <w:t>700</w:t>
      </w:r>
      <w:r w:rsidR="000D18B4" w:rsidRPr="0075125D">
        <w:t xml:space="preserve"> people over the age of 55 living in caravan parks </w:t>
      </w:r>
      <w:r w:rsidR="000D18B4">
        <w:t>(</w:t>
      </w:r>
      <w:r w:rsidR="000D18B4" w:rsidRPr="0075125D">
        <w:t>representing 44</w:t>
      </w:r>
      <w:r w:rsidR="003D64E0">
        <w:t xml:space="preserve"> per cent</w:t>
      </w:r>
      <w:r w:rsidR="000D18B4" w:rsidRPr="0075125D">
        <w:t xml:space="preserve"> of the total number of </w:t>
      </w:r>
      <w:r w:rsidR="000D18B4">
        <w:t>people living in caravan parks).</w:t>
      </w:r>
      <w:r>
        <w:rPr>
          <w:rStyle w:val="FootnoteReference"/>
          <w:szCs w:val="24"/>
        </w:rPr>
        <w:footnoteReference w:id="15"/>
      </w:r>
      <w:r w:rsidR="000D18B4">
        <w:t xml:space="preserve">  </w:t>
      </w:r>
    </w:p>
    <w:p w14:paraId="6FC8FE13" w14:textId="517BE716" w:rsidR="000D18B4" w:rsidRPr="004B1B88" w:rsidRDefault="000D18B4" w:rsidP="004B1B88">
      <w:pPr>
        <w:pStyle w:val="Heading3"/>
        <w:rPr>
          <w:color w:val="365F91" w:themeColor="accent1" w:themeShade="BF"/>
          <w:sz w:val="26"/>
          <w:szCs w:val="26"/>
        </w:rPr>
      </w:pPr>
      <w:bookmarkStart w:id="282" w:name="_Toc459983032"/>
      <w:bookmarkStart w:id="283" w:name="_Toc460257492"/>
      <w:bookmarkEnd w:id="282"/>
      <w:r w:rsidRPr="004B1B88">
        <w:rPr>
          <w:color w:val="365F91" w:themeColor="accent1" w:themeShade="BF"/>
          <w:sz w:val="26"/>
          <w:szCs w:val="26"/>
        </w:rPr>
        <w:t>Where older Queenslanders live</w:t>
      </w:r>
      <w:bookmarkEnd w:id="283"/>
    </w:p>
    <w:p w14:paraId="0CC80050" w14:textId="49365E60" w:rsidR="000D18B4" w:rsidRPr="002A0A3C" w:rsidRDefault="000D18B4" w:rsidP="000D18B4">
      <w:pPr>
        <w:rPr>
          <w:szCs w:val="24"/>
        </w:rPr>
      </w:pPr>
      <w:r w:rsidRPr="0075125D">
        <w:t xml:space="preserve">In 2011, </w:t>
      </w:r>
      <w:r w:rsidR="00D52E28">
        <w:t xml:space="preserve">approximately </w:t>
      </w:r>
      <w:r w:rsidRPr="0075125D">
        <w:t>382,</w:t>
      </w:r>
      <w:r w:rsidR="00D52E28">
        <w:t>000</w:t>
      </w:r>
      <w:r w:rsidRPr="0075125D">
        <w:t xml:space="preserve"> or two-thirds of Queenslanders aged 65 years </w:t>
      </w:r>
      <w:r w:rsidR="00D52E28">
        <w:t>or older</w:t>
      </w:r>
      <w:r w:rsidRPr="0075125D">
        <w:t xml:space="preserve"> were living in South East </w:t>
      </w:r>
      <w:r w:rsidRPr="002A0A3C">
        <w:rPr>
          <w:szCs w:val="24"/>
        </w:rPr>
        <w:t>Queensland while regional Queensland was home to an estimated 197,</w:t>
      </w:r>
      <w:r w:rsidR="00D52E28">
        <w:rPr>
          <w:szCs w:val="24"/>
        </w:rPr>
        <w:t>5</w:t>
      </w:r>
      <w:r w:rsidRPr="002A0A3C">
        <w:rPr>
          <w:szCs w:val="24"/>
        </w:rPr>
        <w:t xml:space="preserve">00 </w:t>
      </w:r>
      <w:r w:rsidR="00D52E28">
        <w:rPr>
          <w:szCs w:val="24"/>
        </w:rPr>
        <w:t>people</w:t>
      </w:r>
      <w:r w:rsidR="00D52E28" w:rsidRPr="002A0A3C">
        <w:rPr>
          <w:szCs w:val="24"/>
        </w:rPr>
        <w:t xml:space="preserve"> </w:t>
      </w:r>
      <w:r w:rsidRPr="002A0A3C">
        <w:rPr>
          <w:szCs w:val="24"/>
        </w:rPr>
        <w:t xml:space="preserve">in this age group. By 2036, it is projected that there will be 937,200 persons in this age group in South East Queensland and a further 465,400 persons in the remainder of Queensland.  </w:t>
      </w:r>
    </w:p>
    <w:p w14:paraId="6FC0B5A1" w14:textId="3E924918" w:rsidR="000D18B4" w:rsidRPr="002A0A3C" w:rsidRDefault="000D18B4" w:rsidP="000D18B4">
      <w:pPr>
        <w:rPr>
          <w:szCs w:val="24"/>
        </w:rPr>
      </w:pPr>
      <w:r w:rsidRPr="002A0A3C">
        <w:rPr>
          <w:szCs w:val="24"/>
        </w:rPr>
        <w:t xml:space="preserve">In 2011, outside Brisbane, the Gold Coast was estimated to have the largest number of persons aged 65 years </w:t>
      </w:r>
      <w:r w:rsidR="0031439E">
        <w:rPr>
          <w:szCs w:val="24"/>
        </w:rPr>
        <w:t>or older</w:t>
      </w:r>
      <w:r w:rsidRPr="002A0A3C">
        <w:rPr>
          <w:szCs w:val="24"/>
        </w:rPr>
        <w:t xml:space="preserve"> (75,800), followed by the Sunshine Coast (57,400) and the Wide Bay region (54,800).  </w:t>
      </w:r>
    </w:p>
    <w:p w14:paraId="4F04E703" w14:textId="7921169C" w:rsidR="000D18B4" w:rsidRPr="0075125D" w:rsidRDefault="000D18B4" w:rsidP="000D18B4">
      <w:r w:rsidRPr="002A0A3C">
        <w:rPr>
          <w:szCs w:val="24"/>
        </w:rPr>
        <w:t>The Wide</w:t>
      </w:r>
      <w:r w:rsidRPr="0075125D">
        <w:t xml:space="preserve"> Bay region had the highest proportion of people aged 65 years </w:t>
      </w:r>
      <w:r w:rsidR="0031439E">
        <w:t xml:space="preserve">or older </w:t>
      </w:r>
      <w:r w:rsidRPr="0075125D">
        <w:t>at 19.8</w:t>
      </w:r>
      <w:r w:rsidR="003D64E0">
        <w:t xml:space="preserve"> per cent</w:t>
      </w:r>
      <w:r w:rsidRPr="0075125D">
        <w:t>, followed by the Sunshine Coast with 18.2</w:t>
      </w:r>
      <w:r w:rsidR="003D64E0">
        <w:t xml:space="preserve"> per cent</w:t>
      </w:r>
      <w:r w:rsidRPr="0075125D">
        <w:t xml:space="preserve">, and </w:t>
      </w:r>
      <w:r w:rsidR="0031439E">
        <w:t>North West Queensland</w:t>
      </w:r>
      <w:r w:rsidRPr="0075125D">
        <w:t xml:space="preserve"> with the lowest at 8.8</w:t>
      </w:r>
      <w:r w:rsidR="003D64E0">
        <w:t xml:space="preserve"> per cent</w:t>
      </w:r>
      <w:r w:rsidRPr="0075125D">
        <w:t>.</w:t>
      </w:r>
      <w:r>
        <w:t xml:space="preserve">  </w:t>
      </w:r>
    </w:p>
    <w:p w14:paraId="0A1F2BF2" w14:textId="13A18DC1" w:rsidR="000D18B4" w:rsidRPr="002A0A3C" w:rsidRDefault="000D18B4" w:rsidP="000D18B4">
      <w:pPr>
        <w:rPr>
          <w:szCs w:val="24"/>
        </w:rPr>
      </w:pPr>
      <w:r w:rsidRPr="0075125D">
        <w:t xml:space="preserve">Over </w:t>
      </w:r>
      <w:r w:rsidRPr="002A0A3C">
        <w:rPr>
          <w:szCs w:val="24"/>
        </w:rPr>
        <w:t xml:space="preserve">the 25 years to 2036, all Queensland areas are projected to experience significant increases in </w:t>
      </w:r>
      <w:r w:rsidR="001D1C56">
        <w:rPr>
          <w:szCs w:val="24"/>
        </w:rPr>
        <w:t>people</w:t>
      </w:r>
      <w:r w:rsidR="001D1C56" w:rsidRPr="002A0A3C">
        <w:rPr>
          <w:szCs w:val="24"/>
        </w:rPr>
        <w:t xml:space="preserve"> </w:t>
      </w:r>
      <w:r w:rsidRPr="002A0A3C">
        <w:rPr>
          <w:szCs w:val="24"/>
        </w:rPr>
        <w:t xml:space="preserve">in the 65 years </w:t>
      </w:r>
      <w:r w:rsidR="0031439E">
        <w:rPr>
          <w:szCs w:val="24"/>
        </w:rPr>
        <w:t>or older</w:t>
      </w:r>
      <w:r w:rsidRPr="002A0A3C">
        <w:rPr>
          <w:szCs w:val="24"/>
        </w:rPr>
        <w:t xml:space="preserve"> age group. </w:t>
      </w:r>
      <w:r w:rsidR="0031439E">
        <w:rPr>
          <w:szCs w:val="24"/>
        </w:rPr>
        <w:t>T</w:t>
      </w:r>
      <w:r w:rsidRPr="002A0A3C">
        <w:rPr>
          <w:szCs w:val="24"/>
        </w:rPr>
        <w:t>he largest growth is projected to occur in Brisbane (from 137,900 to 282,100 persons), followed by the Gold Coast (from 75,800 to 186,000 persons). Ipswich, the Sunshine Coast, Logan-Beaudesert and Moreton Bay are also expected to experience substantial increases in the older population.</w:t>
      </w:r>
    </w:p>
    <w:p w14:paraId="68E58BD3" w14:textId="0C78E03E" w:rsidR="000D18B4" w:rsidRPr="002A0A3C" w:rsidRDefault="000D18B4" w:rsidP="000D18B4">
      <w:pPr>
        <w:rPr>
          <w:szCs w:val="24"/>
        </w:rPr>
      </w:pPr>
      <w:r w:rsidRPr="002A0A3C">
        <w:rPr>
          <w:szCs w:val="24"/>
        </w:rPr>
        <w:t>In regional Queensland, Wide</w:t>
      </w:r>
      <w:r w:rsidR="0031439E">
        <w:rPr>
          <w:szCs w:val="24"/>
        </w:rPr>
        <w:t xml:space="preserve"> </w:t>
      </w:r>
      <w:r w:rsidRPr="002A0A3C">
        <w:rPr>
          <w:szCs w:val="24"/>
        </w:rPr>
        <w:t xml:space="preserve">Bay, Townsville, Cairns and Fitzroy are projected to experience significant increases in persons in the 65 years </w:t>
      </w:r>
      <w:r w:rsidR="0031439E">
        <w:rPr>
          <w:szCs w:val="24"/>
        </w:rPr>
        <w:t>or older</w:t>
      </w:r>
      <w:r w:rsidRPr="002A0A3C">
        <w:rPr>
          <w:szCs w:val="24"/>
        </w:rPr>
        <w:t xml:space="preserve"> age group.</w:t>
      </w:r>
    </w:p>
    <w:p w14:paraId="4931FE3C" w14:textId="709BC323" w:rsidR="000D18B4" w:rsidRPr="00396DF9" w:rsidRDefault="000D18B4" w:rsidP="000D18B4">
      <w:r w:rsidRPr="002A0A3C">
        <w:rPr>
          <w:szCs w:val="24"/>
        </w:rPr>
        <w:t>Maps showing</w:t>
      </w:r>
      <w:r w:rsidRPr="00396DF9">
        <w:t xml:space="preserve"> the proportion of people aged 65 years </w:t>
      </w:r>
      <w:r w:rsidR="0031439E">
        <w:t>or older</w:t>
      </w:r>
      <w:r w:rsidRPr="00396DF9">
        <w:t xml:space="preserve"> across the state </w:t>
      </w:r>
      <w:r w:rsidR="001D1C56">
        <w:t>in 2016 an</w:t>
      </w:r>
      <w:r w:rsidR="00157D8B">
        <w:t>d</w:t>
      </w:r>
      <w:r w:rsidR="001D1C56">
        <w:t xml:space="preserve"> </w:t>
      </w:r>
      <w:r w:rsidR="009555A5">
        <w:t xml:space="preserve">projections for </w:t>
      </w:r>
      <w:r w:rsidR="001D1C56">
        <w:t xml:space="preserve">2036 </w:t>
      </w:r>
      <w:r w:rsidRPr="00396DF9">
        <w:t xml:space="preserve">are at Appendix </w:t>
      </w:r>
      <w:r w:rsidR="009B79C4">
        <w:t>4</w:t>
      </w:r>
      <w:r w:rsidRPr="00396DF9">
        <w:t xml:space="preserve">. </w:t>
      </w:r>
    </w:p>
    <w:p w14:paraId="138B1EF7" w14:textId="17A8B5D6" w:rsidR="000D18B4" w:rsidRPr="00095189" w:rsidRDefault="000D18B4" w:rsidP="004B1B88">
      <w:pPr>
        <w:pStyle w:val="Heading3"/>
      </w:pPr>
      <w:bookmarkStart w:id="284" w:name="_Toc457242120"/>
      <w:bookmarkStart w:id="285" w:name="_Toc457242502"/>
      <w:bookmarkStart w:id="286" w:name="_Toc457242885"/>
      <w:bookmarkStart w:id="287" w:name="_Toc457243268"/>
      <w:bookmarkStart w:id="288" w:name="_Toc457243644"/>
      <w:bookmarkStart w:id="289" w:name="_Toc457244026"/>
      <w:bookmarkStart w:id="290" w:name="_Toc457244404"/>
      <w:bookmarkStart w:id="291" w:name="_Toc457244784"/>
      <w:bookmarkStart w:id="292" w:name="_Toc457245157"/>
      <w:bookmarkStart w:id="293" w:name="_Toc457245528"/>
      <w:bookmarkStart w:id="294" w:name="_Toc457245897"/>
      <w:bookmarkStart w:id="295" w:name="_Toc457246236"/>
      <w:bookmarkStart w:id="296" w:name="_Toc457288691"/>
      <w:bookmarkStart w:id="297" w:name="_Toc457290512"/>
      <w:bookmarkStart w:id="298" w:name="_Toc457398861"/>
      <w:bookmarkStart w:id="299" w:name="_Toc457458594"/>
      <w:bookmarkStart w:id="300" w:name="_Toc457467894"/>
      <w:bookmarkStart w:id="301" w:name="_Toc457482903"/>
      <w:bookmarkStart w:id="302" w:name="_Toc457483295"/>
      <w:bookmarkStart w:id="303" w:name="_Toc457506212"/>
      <w:bookmarkStart w:id="304" w:name="_Toc457512239"/>
      <w:bookmarkStart w:id="305" w:name="_Toc46025749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4B1B88">
        <w:rPr>
          <w:color w:val="365F91" w:themeColor="accent1" w:themeShade="BF"/>
          <w:sz w:val="26"/>
          <w:szCs w:val="26"/>
        </w:rPr>
        <w:lastRenderedPageBreak/>
        <w:t>Housing trends</w:t>
      </w:r>
      <w:bookmarkEnd w:id="305"/>
    </w:p>
    <w:p w14:paraId="5B2FB34F" w14:textId="437DC82A" w:rsidR="000D18B4" w:rsidRPr="002A0A3C" w:rsidRDefault="009555A5" w:rsidP="000D18B4">
      <w:pPr>
        <w:rPr>
          <w:szCs w:val="24"/>
        </w:rPr>
      </w:pPr>
      <w:r>
        <w:rPr>
          <w:rFonts w:ascii="Calibri" w:eastAsia="Calibri" w:hAnsi="Calibri" w:cs="Times New Roman"/>
        </w:rPr>
        <w:t>The 2011 Census shows that 66 per cent of people over 65 owned their home.  However, t</w:t>
      </w:r>
      <w:r w:rsidR="00816113" w:rsidRPr="002A0A3C">
        <w:rPr>
          <w:szCs w:val="24"/>
        </w:rPr>
        <w:t xml:space="preserve">he </w:t>
      </w:r>
      <w:r w:rsidR="00816113">
        <w:rPr>
          <w:szCs w:val="24"/>
        </w:rPr>
        <w:t>level</w:t>
      </w:r>
      <w:r w:rsidR="00816113" w:rsidRPr="002A0A3C">
        <w:rPr>
          <w:szCs w:val="24"/>
        </w:rPr>
        <w:t xml:space="preserve"> of home owners</w:t>
      </w:r>
      <w:r w:rsidR="00816113">
        <w:rPr>
          <w:szCs w:val="24"/>
        </w:rPr>
        <w:t>hip</w:t>
      </w:r>
      <w:r w:rsidR="00816113" w:rsidRPr="002A0A3C">
        <w:rPr>
          <w:szCs w:val="24"/>
        </w:rPr>
        <w:t xml:space="preserve"> is declining </w:t>
      </w:r>
      <w:r w:rsidR="00816113">
        <w:rPr>
          <w:szCs w:val="24"/>
        </w:rPr>
        <w:t xml:space="preserve">and </w:t>
      </w:r>
      <w:r w:rsidR="000D18B4" w:rsidRPr="001833BE">
        <w:t xml:space="preserve">this </w:t>
      </w:r>
      <w:r w:rsidR="00816113">
        <w:t xml:space="preserve">trend </w:t>
      </w:r>
      <w:r w:rsidR="000D18B4" w:rsidRPr="001833BE">
        <w:t xml:space="preserve">is </w:t>
      </w:r>
      <w:r w:rsidR="000D18B4">
        <w:t>likely</w:t>
      </w:r>
      <w:r w:rsidR="000D18B4" w:rsidRPr="001833BE">
        <w:t xml:space="preserve"> to </w:t>
      </w:r>
      <w:r w:rsidR="00816113">
        <w:t>accelerate</w:t>
      </w:r>
      <w:r w:rsidR="00816113" w:rsidRPr="001833BE">
        <w:t xml:space="preserve"> </w:t>
      </w:r>
      <w:r w:rsidR="000D18B4" w:rsidRPr="001833BE">
        <w:t xml:space="preserve">as </w:t>
      </w:r>
      <w:r w:rsidR="000D18B4" w:rsidRPr="002A0A3C">
        <w:rPr>
          <w:szCs w:val="24"/>
        </w:rPr>
        <w:t xml:space="preserve">younger </w:t>
      </w:r>
      <w:r w:rsidR="00816113">
        <w:rPr>
          <w:szCs w:val="24"/>
        </w:rPr>
        <w:t>people,</w:t>
      </w:r>
      <w:r w:rsidR="00816113" w:rsidRPr="002A0A3C">
        <w:rPr>
          <w:szCs w:val="24"/>
        </w:rPr>
        <w:t xml:space="preserve"> </w:t>
      </w:r>
      <w:r w:rsidR="000D18B4" w:rsidRPr="002A0A3C">
        <w:rPr>
          <w:szCs w:val="24"/>
        </w:rPr>
        <w:t>with lower home ownership levels</w:t>
      </w:r>
      <w:r w:rsidR="00816113">
        <w:rPr>
          <w:szCs w:val="24"/>
        </w:rPr>
        <w:t>,</w:t>
      </w:r>
      <w:r w:rsidR="000D18B4" w:rsidRPr="002A0A3C">
        <w:rPr>
          <w:szCs w:val="24"/>
        </w:rPr>
        <w:t xml:space="preserve"> reach retirement age.  </w:t>
      </w:r>
    </w:p>
    <w:p w14:paraId="4FFEC5C6" w14:textId="4531ABCF" w:rsidR="000D18B4" w:rsidRDefault="000D18B4" w:rsidP="000D18B4">
      <w:r w:rsidRPr="002A0A3C">
        <w:rPr>
          <w:szCs w:val="24"/>
        </w:rPr>
        <w:t>Whilst the majority of older people own their own homes, increasing</w:t>
      </w:r>
      <w:r w:rsidRPr="00DE6932">
        <w:t xml:space="preserve"> numbers of older people are retiring with a mortgage or other debts</w:t>
      </w:r>
      <w:r w:rsidR="00816113">
        <w:t>,</w:t>
      </w:r>
      <w:r w:rsidRPr="00DE6932">
        <w:t xml:space="preserve"> which limits their </w:t>
      </w:r>
      <w:r>
        <w:t xml:space="preserve">housing </w:t>
      </w:r>
      <w:r w:rsidRPr="00DE6932">
        <w:t xml:space="preserve">options. </w:t>
      </w:r>
      <w:r w:rsidR="00816113">
        <w:t>M</w:t>
      </w:r>
      <w:r>
        <w:t xml:space="preserve">any older home owners </w:t>
      </w:r>
      <w:r w:rsidR="00816113">
        <w:t>and</w:t>
      </w:r>
      <w:r>
        <w:t xml:space="preserve"> private renters are experiencing difficulty meeting their housing costs.</w:t>
      </w:r>
      <w:r>
        <w:rPr>
          <w:rStyle w:val="FootnoteReference"/>
        </w:rPr>
        <w:footnoteReference w:id="16"/>
      </w:r>
      <w:r>
        <w:t xml:space="preserve">  </w:t>
      </w:r>
    </w:p>
    <w:p w14:paraId="2C8C2174" w14:textId="015B61B0" w:rsidR="000D18B4" w:rsidRPr="00392D77" w:rsidRDefault="00816113" w:rsidP="009D21B0">
      <w:r>
        <w:t xml:space="preserve">The number of people aged 55 years or older </w:t>
      </w:r>
      <w:r w:rsidR="009F5A75">
        <w:t>who rent privately has increased from about 235,000 in 2006 to about 336,000 a</w:t>
      </w:r>
      <w:r w:rsidR="000D18B4" w:rsidRPr="0075125D">
        <w:t>t the time of the 2011 Census</w:t>
      </w:r>
      <w:r w:rsidR="009F5A75">
        <w:t>.</w:t>
      </w:r>
      <w:r w:rsidR="000D18B4" w:rsidRPr="0075125D">
        <w:t xml:space="preserve"> </w:t>
      </w:r>
      <w:r w:rsidR="009F5A75">
        <w:t xml:space="preserve">Put another way, the proportion of people over 55 who rent increased from </w:t>
      </w:r>
      <w:r w:rsidR="000D18B4" w:rsidRPr="0075125D">
        <w:t>8.6 to 10.8</w:t>
      </w:r>
      <w:r w:rsidR="000D18B4" w:rsidRPr="0075125D">
        <w:rPr>
          <w:rFonts w:ascii="Arial" w:hAnsi="Arial"/>
        </w:rPr>
        <w:t xml:space="preserve"> </w:t>
      </w:r>
      <w:r w:rsidR="000D18B4" w:rsidRPr="00F20FC2">
        <w:t>per cent.</w:t>
      </w:r>
      <w:r w:rsidR="000D18B4" w:rsidRPr="0075125D">
        <w:rPr>
          <w:rFonts w:ascii="Arial" w:hAnsi="Arial"/>
          <w:vertAlign w:val="superscript"/>
        </w:rPr>
        <w:footnoteReference w:id="17"/>
      </w:r>
      <w:r w:rsidR="000D18B4" w:rsidRPr="0075125D">
        <w:rPr>
          <w:rFonts w:ascii="Arial" w:hAnsi="Arial"/>
        </w:rPr>
        <w:t xml:space="preserve"> </w:t>
      </w:r>
      <w:r w:rsidR="000D18B4" w:rsidRPr="0075125D">
        <w:t>Jones et al (2007) have projected that this trend will increase and drive strong</w:t>
      </w:r>
      <w:r w:rsidR="009F5A75">
        <w:t>,</w:t>
      </w:r>
      <w:r w:rsidR="000D18B4" w:rsidRPr="0075125D">
        <w:t xml:space="preserve"> continuing demand for rental housing </w:t>
      </w:r>
      <w:r w:rsidR="009F5A75">
        <w:t xml:space="preserve">by </w:t>
      </w:r>
      <w:r w:rsidR="009F5A75" w:rsidRPr="002A0A3C">
        <w:rPr>
          <w:szCs w:val="24"/>
        </w:rPr>
        <w:t>older</w:t>
      </w:r>
      <w:r w:rsidR="009F5A75" w:rsidRPr="0075125D">
        <w:t xml:space="preserve"> </w:t>
      </w:r>
      <w:r w:rsidR="009F5A75">
        <w:t>people</w:t>
      </w:r>
      <w:r w:rsidR="009F5A75" w:rsidRPr="0075125D">
        <w:t xml:space="preserve"> </w:t>
      </w:r>
      <w:r w:rsidR="000D18B4" w:rsidRPr="0075125D">
        <w:t>over the next two decades and beyond.</w:t>
      </w:r>
      <w:r w:rsidR="000D18B4" w:rsidRPr="003A5B36">
        <w:rPr>
          <w:rFonts w:ascii="Arial" w:hAnsi="Arial"/>
          <w:vertAlign w:val="superscript"/>
        </w:rPr>
        <w:footnoteReference w:id="18"/>
      </w:r>
      <w:r w:rsidR="000D18B4">
        <w:t xml:space="preserve"> </w:t>
      </w:r>
      <w:r w:rsidR="009F5A75">
        <w:t>D</w:t>
      </w:r>
      <w:r w:rsidR="000D18B4" w:rsidRPr="00392D77">
        <w:t xml:space="preserve">ecreasing </w:t>
      </w:r>
      <w:r w:rsidR="009F5A75">
        <w:t xml:space="preserve">housing </w:t>
      </w:r>
      <w:r w:rsidR="000D18B4" w:rsidRPr="00392D77">
        <w:t>affordability and low</w:t>
      </w:r>
      <w:r w:rsidR="009F5A75">
        <w:t>er</w:t>
      </w:r>
      <w:r w:rsidR="000D18B4" w:rsidRPr="00392D77">
        <w:t xml:space="preserve"> accessibility of the private rental market</w:t>
      </w:r>
      <w:r w:rsidR="009F5A75">
        <w:t xml:space="preserve"> are </w:t>
      </w:r>
      <w:r w:rsidR="000D18B4" w:rsidRPr="00392D77">
        <w:t xml:space="preserve">likely to increase demands on social housing </w:t>
      </w:r>
      <w:r w:rsidR="009F5A75">
        <w:t>for</w:t>
      </w:r>
      <w:r w:rsidR="000D18B4" w:rsidRPr="00392D77">
        <w:t xml:space="preserve"> low income older</w:t>
      </w:r>
      <w:r w:rsidR="001D1C56">
        <w:t xml:space="preserve"> people</w:t>
      </w:r>
      <w:r w:rsidR="000D18B4" w:rsidRPr="00392D77">
        <w:t>.</w:t>
      </w:r>
    </w:p>
    <w:p w14:paraId="16EC27E6" w14:textId="4D14591A" w:rsidR="000D18B4" w:rsidRDefault="000D18B4" w:rsidP="000D18B4">
      <w:r w:rsidRPr="004C1AE3">
        <w:t xml:space="preserve">The number of people aged 55 </w:t>
      </w:r>
      <w:r w:rsidR="00AE54F8">
        <w:t>or older</w:t>
      </w:r>
      <w:r w:rsidRPr="004C1AE3">
        <w:t xml:space="preserve"> living in caravan parks increas</w:t>
      </w:r>
      <w:r w:rsidR="00AE54F8">
        <w:t>ed</w:t>
      </w:r>
      <w:r w:rsidRPr="004C1AE3">
        <w:t xml:space="preserve"> from </w:t>
      </w:r>
      <w:r w:rsidR="00AE54F8">
        <w:t xml:space="preserve">approximately </w:t>
      </w:r>
      <w:r w:rsidRPr="004C1AE3">
        <w:t>4,</w:t>
      </w:r>
      <w:r w:rsidR="00AE54F8">
        <w:t>800</w:t>
      </w:r>
      <w:r w:rsidRPr="004C1AE3">
        <w:t xml:space="preserve"> in 2006 to </w:t>
      </w:r>
      <w:r w:rsidR="00AE54F8">
        <w:t xml:space="preserve">approximately </w:t>
      </w:r>
      <w:r w:rsidRPr="00A6300C">
        <w:t>5,</w:t>
      </w:r>
      <w:r w:rsidR="00AE54F8">
        <w:t>700</w:t>
      </w:r>
      <w:r w:rsidRPr="00A6300C">
        <w:t xml:space="preserve"> </w:t>
      </w:r>
      <w:r w:rsidR="00AE54F8">
        <w:t xml:space="preserve">in </w:t>
      </w:r>
      <w:r w:rsidRPr="00A6300C">
        <w:t>2011 (</w:t>
      </w:r>
      <w:r w:rsidRPr="004C1AE3">
        <w:t xml:space="preserve">an increase </w:t>
      </w:r>
      <w:r w:rsidR="00D17EA4">
        <w:t xml:space="preserve">in the proportion </w:t>
      </w:r>
      <w:r w:rsidRPr="004C1AE3">
        <w:t>from 38</w:t>
      </w:r>
      <w:r w:rsidR="003D64E0">
        <w:t xml:space="preserve"> per cent</w:t>
      </w:r>
      <w:r w:rsidRPr="00A6300C">
        <w:t xml:space="preserve"> </w:t>
      </w:r>
      <w:r w:rsidRPr="004C1AE3">
        <w:t>in 2006 to 44</w:t>
      </w:r>
      <w:r>
        <w:t xml:space="preserve"> per cent</w:t>
      </w:r>
      <w:r w:rsidRPr="004C1AE3">
        <w:t xml:space="preserve"> in 2011</w:t>
      </w:r>
      <w:r w:rsidRPr="00A6300C">
        <w:t>)</w:t>
      </w:r>
      <w:r w:rsidRPr="004C1AE3">
        <w:t>.</w:t>
      </w:r>
      <w:r w:rsidRPr="00A6300C">
        <w:rPr>
          <w:vertAlign w:val="superscript"/>
        </w:rPr>
        <w:footnoteReference w:id="19"/>
      </w:r>
      <w:r w:rsidRPr="00A6300C">
        <w:rPr>
          <w:vertAlign w:val="superscript"/>
        </w:rPr>
        <w:t xml:space="preserve"> </w:t>
      </w:r>
      <w:r w:rsidRPr="00A6300C">
        <w:t xml:space="preserve"> Fewer older women live in caravan parks than men (</w:t>
      </w:r>
      <w:r w:rsidR="0010732F">
        <w:t xml:space="preserve">approximately </w:t>
      </w:r>
      <w:r w:rsidRPr="00A6300C">
        <w:t>3,80</w:t>
      </w:r>
      <w:r w:rsidR="0010732F">
        <w:t>0</w:t>
      </w:r>
      <w:r w:rsidRPr="00A6300C">
        <w:t xml:space="preserve"> </w:t>
      </w:r>
      <w:r w:rsidR="0010732F">
        <w:t xml:space="preserve">in 2006 </w:t>
      </w:r>
      <w:r w:rsidRPr="00A6300C">
        <w:t xml:space="preserve">compared </w:t>
      </w:r>
      <w:r w:rsidR="0010732F">
        <w:t>with</w:t>
      </w:r>
      <w:r w:rsidR="0010732F" w:rsidRPr="00A6300C">
        <w:t xml:space="preserve"> </w:t>
      </w:r>
      <w:r w:rsidRPr="00A6300C">
        <w:t>1,</w:t>
      </w:r>
      <w:r w:rsidR="0010732F">
        <w:t>900</w:t>
      </w:r>
      <w:r w:rsidRPr="00A6300C">
        <w:t xml:space="preserve"> in 2011), with men over 55 comprising almost a third of all people living in caravan parks.</w:t>
      </w:r>
    </w:p>
    <w:p w14:paraId="7CC36457" w14:textId="4A52DADA" w:rsidR="000D18B4" w:rsidRDefault="000D18B4" w:rsidP="000D18B4">
      <w:r w:rsidRPr="007D2C8F">
        <w:t xml:space="preserve">Many older Queenslanders have low incomes despite owning their </w:t>
      </w:r>
      <w:r>
        <w:t xml:space="preserve">own </w:t>
      </w:r>
      <w:r w:rsidRPr="007D2C8F">
        <w:t xml:space="preserve">home. It has been reported that </w:t>
      </w:r>
      <w:r w:rsidRPr="002A0A3C">
        <w:rPr>
          <w:szCs w:val="24"/>
        </w:rPr>
        <w:t>approximately</w:t>
      </w:r>
      <w:r w:rsidRPr="007D2C8F">
        <w:t xml:space="preserve"> two thirds of Queensland</w:t>
      </w:r>
      <w:r w:rsidR="0010732F">
        <w:t xml:space="preserve">ers aged </w:t>
      </w:r>
      <w:r w:rsidRPr="007D2C8F">
        <w:t xml:space="preserve">75-84 have </w:t>
      </w:r>
      <w:r w:rsidR="0010732F">
        <w:t xml:space="preserve">weekly </w:t>
      </w:r>
      <w:r w:rsidRPr="007D2C8F">
        <w:t>incomes of less than $400 while less than 5</w:t>
      </w:r>
      <w:r>
        <w:t xml:space="preserve"> per cent</w:t>
      </w:r>
      <w:r w:rsidRPr="007D2C8F">
        <w:t xml:space="preserve"> have personal incomes over $1,000 per week.</w:t>
      </w:r>
      <w:r w:rsidRPr="007D2C8F">
        <w:rPr>
          <w:vertAlign w:val="superscript"/>
        </w:rPr>
        <w:footnoteReference w:id="20"/>
      </w:r>
      <w:r>
        <w:t xml:space="preserve"> </w:t>
      </w:r>
      <w:r w:rsidR="00D81013">
        <w:t xml:space="preserve">There are </w:t>
      </w:r>
      <w:r w:rsidR="0010732F">
        <w:t xml:space="preserve">currently </w:t>
      </w:r>
      <w:r w:rsidR="00D81013">
        <w:t>477,000 Queenslanders receiving the age pension.</w:t>
      </w:r>
      <w:r w:rsidR="00D81013">
        <w:rPr>
          <w:rStyle w:val="FootnoteReference"/>
        </w:rPr>
        <w:footnoteReference w:id="21"/>
      </w:r>
      <w:r w:rsidR="00D81013">
        <w:t xml:space="preserve"> </w:t>
      </w:r>
      <w:r>
        <w:t>Many have little or limited funds to transition</w:t>
      </w:r>
      <w:r w:rsidRPr="00DE6932">
        <w:t xml:space="preserve"> into different living circumstances</w:t>
      </w:r>
      <w:r w:rsidR="0010732F">
        <w:t>,</w:t>
      </w:r>
      <w:r>
        <w:t xml:space="preserve"> especially </w:t>
      </w:r>
      <w:r w:rsidRPr="00DE6932">
        <w:t xml:space="preserve">renters </w:t>
      </w:r>
      <w:r>
        <w:t xml:space="preserve">who may </w:t>
      </w:r>
      <w:r w:rsidRPr="00DE6932">
        <w:t>have little or no cash reserves</w:t>
      </w:r>
      <w:r>
        <w:t>.</w:t>
      </w:r>
    </w:p>
    <w:p w14:paraId="6EED49E0" w14:textId="6C3BCFF1" w:rsidR="000D18B4" w:rsidRPr="00E820DE" w:rsidRDefault="000D18B4" w:rsidP="000D18B4">
      <w:pPr>
        <w:pStyle w:val="Heading2"/>
      </w:pPr>
      <w:bookmarkStart w:id="306" w:name="_Toc457242123"/>
      <w:bookmarkStart w:id="307" w:name="_Toc457242505"/>
      <w:bookmarkStart w:id="308" w:name="_Toc457242888"/>
      <w:bookmarkStart w:id="309" w:name="_Toc457243271"/>
      <w:bookmarkStart w:id="310" w:name="_Toc457243647"/>
      <w:bookmarkStart w:id="311" w:name="_Toc457244029"/>
      <w:bookmarkStart w:id="312" w:name="_Toc457244407"/>
      <w:bookmarkStart w:id="313" w:name="_Toc457244786"/>
      <w:bookmarkStart w:id="314" w:name="_Toc457245159"/>
      <w:bookmarkStart w:id="315" w:name="_Toc457245530"/>
      <w:bookmarkStart w:id="316" w:name="_Toc457245899"/>
      <w:bookmarkStart w:id="317" w:name="_Toc457246238"/>
      <w:bookmarkStart w:id="318" w:name="_Toc457288693"/>
      <w:bookmarkStart w:id="319" w:name="_Toc457290514"/>
      <w:bookmarkStart w:id="320" w:name="_Toc457398863"/>
      <w:bookmarkStart w:id="321" w:name="_Toc457458596"/>
      <w:bookmarkStart w:id="322" w:name="_Toc457467896"/>
      <w:bookmarkStart w:id="323" w:name="_Toc457482905"/>
      <w:bookmarkStart w:id="324" w:name="_Toc457483297"/>
      <w:bookmarkStart w:id="325" w:name="_Toc457506214"/>
      <w:bookmarkStart w:id="326" w:name="_Toc457512241"/>
      <w:bookmarkStart w:id="327" w:name="_Toc457242124"/>
      <w:bookmarkStart w:id="328" w:name="_Toc457242506"/>
      <w:bookmarkStart w:id="329" w:name="_Toc457242889"/>
      <w:bookmarkStart w:id="330" w:name="_Toc457243272"/>
      <w:bookmarkStart w:id="331" w:name="_Toc457243648"/>
      <w:bookmarkStart w:id="332" w:name="_Toc457244030"/>
      <w:bookmarkStart w:id="333" w:name="_Toc457244408"/>
      <w:bookmarkStart w:id="334" w:name="_Toc457244787"/>
      <w:bookmarkStart w:id="335" w:name="_Toc457245160"/>
      <w:bookmarkStart w:id="336" w:name="_Toc457245531"/>
      <w:bookmarkStart w:id="337" w:name="_Toc457245900"/>
      <w:bookmarkStart w:id="338" w:name="_Toc457246239"/>
      <w:bookmarkStart w:id="339" w:name="_Toc457288694"/>
      <w:bookmarkStart w:id="340" w:name="_Toc457290515"/>
      <w:bookmarkStart w:id="341" w:name="_Toc457398864"/>
      <w:bookmarkStart w:id="342" w:name="_Toc457458597"/>
      <w:bookmarkStart w:id="343" w:name="_Toc457467897"/>
      <w:bookmarkStart w:id="344" w:name="_Toc457482906"/>
      <w:bookmarkStart w:id="345" w:name="_Toc457483298"/>
      <w:bookmarkStart w:id="346" w:name="_Toc457506215"/>
      <w:bookmarkStart w:id="347" w:name="_Toc457512242"/>
      <w:bookmarkStart w:id="348" w:name="_Toc457242125"/>
      <w:bookmarkStart w:id="349" w:name="_Toc457242507"/>
      <w:bookmarkStart w:id="350" w:name="_Toc457242890"/>
      <w:bookmarkStart w:id="351" w:name="_Toc457243273"/>
      <w:bookmarkStart w:id="352" w:name="_Toc457243649"/>
      <w:bookmarkStart w:id="353" w:name="_Toc457244031"/>
      <w:bookmarkStart w:id="354" w:name="_Toc457244409"/>
      <w:bookmarkStart w:id="355" w:name="_Toc457244788"/>
      <w:bookmarkStart w:id="356" w:name="_Toc457245161"/>
      <w:bookmarkStart w:id="357" w:name="_Toc457245532"/>
      <w:bookmarkStart w:id="358" w:name="_Toc457245901"/>
      <w:bookmarkStart w:id="359" w:name="_Toc457246240"/>
      <w:bookmarkStart w:id="360" w:name="_Toc457288695"/>
      <w:bookmarkStart w:id="361" w:name="_Toc457290516"/>
      <w:bookmarkStart w:id="362" w:name="_Toc457398865"/>
      <w:bookmarkStart w:id="363" w:name="_Toc457458598"/>
      <w:bookmarkStart w:id="364" w:name="_Toc457467898"/>
      <w:bookmarkStart w:id="365" w:name="_Toc457482907"/>
      <w:bookmarkStart w:id="366" w:name="_Toc457483299"/>
      <w:bookmarkStart w:id="367" w:name="_Toc457506216"/>
      <w:bookmarkStart w:id="368" w:name="_Toc457512243"/>
      <w:bookmarkStart w:id="369" w:name="_Toc457242126"/>
      <w:bookmarkStart w:id="370" w:name="_Toc457242508"/>
      <w:bookmarkStart w:id="371" w:name="_Toc457242891"/>
      <w:bookmarkStart w:id="372" w:name="_Toc457243274"/>
      <w:bookmarkStart w:id="373" w:name="_Toc457243650"/>
      <w:bookmarkStart w:id="374" w:name="_Toc457244032"/>
      <w:bookmarkStart w:id="375" w:name="_Toc457244410"/>
      <w:bookmarkStart w:id="376" w:name="_Toc457244789"/>
      <w:bookmarkStart w:id="377" w:name="_Toc457245162"/>
      <w:bookmarkStart w:id="378" w:name="_Toc457245533"/>
      <w:bookmarkStart w:id="379" w:name="_Toc457245902"/>
      <w:bookmarkStart w:id="380" w:name="_Toc457246241"/>
      <w:bookmarkStart w:id="381" w:name="_Toc457288696"/>
      <w:bookmarkStart w:id="382" w:name="_Toc457290517"/>
      <w:bookmarkStart w:id="383" w:name="_Toc457398866"/>
      <w:bookmarkStart w:id="384" w:name="_Toc457458599"/>
      <w:bookmarkStart w:id="385" w:name="_Toc457467899"/>
      <w:bookmarkStart w:id="386" w:name="_Toc457482908"/>
      <w:bookmarkStart w:id="387" w:name="_Toc457483300"/>
      <w:bookmarkStart w:id="388" w:name="_Toc457506217"/>
      <w:bookmarkStart w:id="389" w:name="_Toc457512244"/>
      <w:bookmarkStart w:id="390" w:name="_Toc457242127"/>
      <w:bookmarkStart w:id="391" w:name="_Toc457242509"/>
      <w:bookmarkStart w:id="392" w:name="_Toc457242892"/>
      <w:bookmarkStart w:id="393" w:name="_Toc457243275"/>
      <w:bookmarkStart w:id="394" w:name="_Toc457243651"/>
      <w:bookmarkStart w:id="395" w:name="_Toc457244033"/>
      <w:bookmarkStart w:id="396" w:name="_Toc457244411"/>
      <w:bookmarkStart w:id="397" w:name="_Toc457244790"/>
      <w:bookmarkStart w:id="398" w:name="_Toc457245163"/>
      <w:bookmarkStart w:id="399" w:name="_Toc457245534"/>
      <w:bookmarkStart w:id="400" w:name="_Toc457245903"/>
      <w:bookmarkStart w:id="401" w:name="_Toc457246242"/>
      <w:bookmarkStart w:id="402" w:name="_Toc457288697"/>
      <w:bookmarkStart w:id="403" w:name="_Toc457290518"/>
      <w:bookmarkStart w:id="404" w:name="_Toc457398867"/>
      <w:bookmarkStart w:id="405" w:name="_Toc457458600"/>
      <w:bookmarkStart w:id="406" w:name="_Toc457467900"/>
      <w:bookmarkStart w:id="407" w:name="_Toc457482909"/>
      <w:bookmarkStart w:id="408" w:name="_Toc457483301"/>
      <w:bookmarkStart w:id="409" w:name="_Toc457506218"/>
      <w:bookmarkStart w:id="410" w:name="_Toc457512245"/>
      <w:bookmarkStart w:id="411" w:name="_Toc457242128"/>
      <w:bookmarkStart w:id="412" w:name="_Toc457242510"/>
      <w:bookmarkStart w:id="413" w:name="_Toc457242893"/>
      <w:bookmarkStart w:id="414" w:name="_Toc457243276"/>
      <w:bookmarkStart w:id="415" w:name="_Toc457243652"/>
      <w:bookmarkStart w:id="416" w:name="_Toc457244034"/>
      <w:bookmarkStart w:id="417" w:name="_Toc457244412"/>
      <w:bookmarkStart w:id="418" w:name="_Toc457244791"/>
      <w:bookmarkStart w:id="419" w:name="_Toc457245164"/>
      <w:bookmarkStart w:id="420" w:name="_Toc457245535"/>
      <w:bookmarkStart w:id="421" w:name="_Toc457245904"/>
      <w:bookmarkStart w:id="422" w:name="_Toc457246243"/>
      <w:bookmarkStart w:id="423" w:name="_Toc457288698"/>
      <w:bookmarkStart w:id="424" w:name="_Toc457290519"/>
      <w:bookmarkStart w:id="425" w:name="_Toc457398868"/>
      <w:bookmarkStart w:id="426" w:name="_Toc457458601"/>
      <w:bookmarkStart w:id="427" w:name="_Toc457467901"/>
      <w:bookmarkStart w:id="428" w:name="_Toc457482910"/>
      <w:bookmarkStart w:id="429" w:name="_Toc457483302"/>
      <w:bookmarkStart w:id="430" w:name="_Toc457506219"/>
      <w:bookmarkStart w:id="431" w:name="_Toc457512246"/>
      <w:bookmarkStart w:id="432" w:name="_Toc457242137"/>
      <w:bookmarkStart w:id="433" w:name="_Toc457242519"/>
      <w:bookmarkStart w:id="434" w:name="_Toc457242902"/>
      <w:bookmarkStart w:id="435" w:name="_Toc457243285"/>
      <w:bookmarkStart w:id="436" w:name="_Toc457243661"/>
      <w:bookmarkStart w:id="437" w:name="_Toc457244043"/>
      <w:bookmarkStart w:id="438" w:name="_Toc457244421"/>
      <w:bookmarkStart w:id="439" w:name="_Toc457244800"/>
      <w:bookmarkStart w:id="440" w:name="_Toc457245173"/>
      <w:bookmarkStart w:id="441" w:name="_Toc457245544"/>
      <w:bookmarkStart w:id="442" w:name="_Toc457245913"/>
      <w:bookmarkStart w:id="443" w:name="_Toc457246252"/>
      <w:bookmarkStart w:id="444" w:name="_Toc457288707"/>
      <w:bookmarkStart w:id="445" w:name="_Toc457290528"/>
      <w:bookmarkStart w:id="446" w:name="_Toc457398877"/>
      <w:bookmarkStart w:id="447" w:name="_Toc457458610"/>
      <w:bookmarkStart w:id="448" w:name="_Toc457467910"/>
      <w:bookmarkStart w:id="449" w:name="_Toc457482919"/>
      <w:bookmarkStart w:id="450" w:name="_Toc457483311"/>
      <w:bookmarkStart w:id="451" w:name="_Toc457506228"/>
      <w:bookmarkStart w:id="452" w:name="_Toc457512255"/>
      <w:bookmarkStart w:id="453" w:name="_Toc460257494"/>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t>Queensland strategic direction – older people and housing</w:t>
      </w:r>
      <w:bookmarkEnd w:id="453"/>
    </w:p>
    <w:p w14:paraId="1FBEE06F" w14:textId="69ACF2AF" w:rsidR="000D18B4" w:rsidRPr="009776C2" w:rsidRDefault="000D18B4" w:rsidP="000D18B4">
      <w:pPr>
        <w:rPr>
          <w:rFonts w:eastAsia="Times New Roman" w:cs="Times New Roman"/>
        </w:rPr>
      </w:pPr>
      <w:r w:rsidRPr="00C37F76">
        <w:rPr>
          <w:rFonts w:eastAsia="Times New Roman" w:cs="Times New Roman"/>
        </w:rPr>
        <w:t xml:space="preserve">The </w:t>
      </w:r>
      <w:r>
        <w:rPr>
          <w:rFonts w:eastAsia="Times New Roman" w:cs="Times New Roman"/>
        </w:rPr>
        <w:t xml:space="preserve">Queensland </w:t>
      </w:r>
      <w:r w:rsidR="00D047FC">
        <w:rPr>
          <w:rFonts w:eastAsia="Times New Roman" w:cs="Times New Roman"/>
        </w:rPr>
        <w:t>G</w:t>
      </w:r>
      <w:r>
        <w:rPr>
          <w:rFonts w:eastAsia="Times New Roman" w:cs="Times New Roman"/>
        </w:rPr>
        <w:t>overnment</w:t>
      </w:r>
      <w:r w:rsidR="00D047FC">
        <w:rPr>
          <w:rFonts w:eastAsia="Times New Roman" w:cs="Times New Roman"/>
        </w:rPr>
        <w:t>’s</w:t>
      </w:r>
      <w:r>
        <w:rPr>
          <w:rFonts w:eastAsia="Times New Roman" w:cs="Times New Roman"/>
        </w:rPr>
        <w:t xml:space="preserve"> </w:t>
      </w:r>
      <w:r w:rsidR="00D047FC" w:rsidRPr="009D21B0">
        <w:rPr>
          <w:szCs w:val="24"/>
        </w:rPr>
        <w:t>recently</w:t>
      </w:r>
      <w:r w:rsidR="00D047FC" w:rsidRPr="00C37F76">
        <w:rPr>
          <w:rFonts w:eastAsia="Times New Roman" w:cs="Times New Roman"/>
        </w:rPr>
        <w:t xml:space="preserve"> released </w:t>
      </w:r>
      <w:r>
        <w:rPr>
          <w:rFonts w:eastAsia="Times New Roman" w:cs="Times New Roman"/>
        </w:rPr>
        <w:t>s</w:t>
      </w:r>
      <w:r w:rsidRPr="00C37F76">
        <w:rPr>
          <w:rFonts w:eastAsia="Times New Roman" w:cs="Times New Roman"/>
        </w:rPr>
        <w:t>trategic direction</w:t>
      </w:r>
      <w:r>
        <w:rPr>
          <w:rFonts w:eastAsia="Times New Roman" w:cs="Times New Roman"/>
        </w:rPr>
        <w:t xml:space="preserve"> and action plan </w:t>
      </w:r>
      <w:r w:rsidRPr="00C37F76">
        <w:rPr>
          <w:rFonts w:eastAsia="Times New Roman" w:cs="Times New Roman"/>
        </w:rPr>
        <w:t xml:space="preserve">for </w:t>
      </w:r>
      <w:r>
        <w:rPr>
          <w:rFonts w:eastAsia="Times New Roman" w:cs="Times New Roman"/>
        </w:rPr>
        <w:t xml:space="preserve">older people </w:t>
      </w:r>
      <w:r w:rsidR="00D047FC">
        <w:rPr>
          <w:rFonts w:eastAsia="Times New Roman" w:cs="Times New Roman"/>
        </w:rPr>
        <w:t>is</w:t>
      </w:r>
      <w:r w:rsidRPr="00C37F76">
        <w:rPr>
          <w:rFonts w:eastAsia="Times New Roman" w:cs="Times New Roman"/>
        </w:rPr>
        <w:t xml:space="preserve"> called </w:t>
      </w:r>
      <w:r w:rsidRPr="00C37F76">
        <w:rPr>
          <w:rFonts w:eastAsia="Times New Roman" w:cs="Times New Roman"/>
          <w:i/>
        </w:rPr>
        <w:t>Queensland: an age-friendly community</w:t>
      </w:r>
      <w:r w:rsidR="00D047FC">
        <w:rPr>
          <w:rFonts w:eastAsia="Times New Roman" w:cs="Times New Roman"/>
          <w:i/>
        </w:rPr>
        <w:t>.</w:t>
      </w:r>
      <w:r w:rsidRPr="00C37F76">
        <w:rPr>
          <w:rFonts w:eastAsia="Times New Roman" w:cs="Times New Roman"/>
        </w:rPr>
        <w:t xml:space="preserve"> </w:t>
      </w:r>
      <w:r w:rsidR="00D047FC">
        <w:rPr>
          <w:rFonts w:eastAsia="Times New Roman" w:cs="Times New Roman"/>
        </w:rPr>
        <w:t xml:space="preserve">It </w:t>
      </w:r>
      <w:r w:rsidRPr="00C37F76">
        <w:rPr>
          <w:rFonts w:eastAsia="Times New Roman" w:cs="Times New Roman"/>
        </w:rPr>
        <w:t>aim</w:t>
      </w:r>
      <w:r w:rsidR="00D047FC">
        <w:rPr>
          <w:rFonts w:eastAsia="Times New Roman" w:cs="Times New Roman"/>
        </w:rPr>
        <w:t>s</w:t>
      </w:r>
      <w:r w:rsidRPr="00C37F76">
        <w:rPr>
          <w:rFonts w:eastAsia="Times New Roman" w:cs="Times New Roman"/>
        </w:rPr>
        <w:t xml:space="preserve"> to create an </w:t>
      </w:r>
      <w:r w:rsidR="00D047FC">
        <w:rPr>
          <w:rFonts w:eastAsia="Times New Roman" w:cs="Times New Roman"/>
        </w:rPr>
        <w:t>‘</w:t>
      </w:r>
      <w:r w:rsidRPr="00C37F76">
        <w:rPr>
          <w:rFonts w:eastAsia="Times New Roman" w:cs="Times New Roman"/>
        </w:rPr>
        <w:t>age-friendly</w:t>
      </w:r>
      <w:r w:rsidR="00D047FC">
        <w:rPr>
          <w:rFonts w:eastAsia="Times New Roman" w:cs="Times New Roman"/>
        </w:rPr>
        <w:t>’</w:t>
      </w:r>
      <w:r w:rsidRPr="00C37F76">
        <w:rPr>
          <w:rFonts w:eastAsia="Times New Roman" w:cs="Times New Roman"/>
        </w:rPr>
        <w:t xml:space="preserve"> community</w:t>
      </w:r>
      <w:r w:rsidR="00D047FC">
        <w:rPr>
          <w:rFonts w:eastAsia="Times New Roman" w:cs="Times New Roman"/>
        </w:rPr>
        <w:t>, one</w:t>
      </w:r>
      <w:r w:rsidRPr="00C37F76">
        <w:rPr>
          <w:rFonts w:eastAsia="Times New Roman" w:cs="Times New Roman"/>
        </w:rPr>
        <w:t xml:space="preserve"> that enables people of all ages to actively participate in community life. </w:t>
      </w:r>
      <w:r>
        <w:rPr>
          <w:rFonts w:eastAsia="Times New Roman" w:cs="Times New Roman"/>
        </w:rPr>
        <w:t xml:space="preserve">It is </w:t>
      </w:r>
      <w:r w:rsidRPr="009D21B0">
        <w:rPr>
          <w:szCs w:val="24"/>
        </w:rPr>
        <w:t>based</w:t>
      </w:r>
      <w:r>
        <w:rPr>
          <w:rFonts w:eastAsia="Times New Roman" w:cs="Times New Roman"/>
        </w:rPr>
        <w:t xml:space="preserve"> on t</w:t>
      </w:r>
      <w:r w:rsidRPr="00C37F76">
        <w:rPr>
          <w:rFonts w:eastAsia="Times New Roman" w:cs="Times New Roman"/>
        </w:rPr>
        <w:t>he World Health Organisation</w:t>
      </w:r>
      <w:r w:rsidR="00D047FC">
        <w:rPr>
          <w:rFonts w:eastAsia="Times New Roman" w:cs="Times New Roman"/>
        </w:rPr>
        <w:t>’s</w:t>
      </w:r>
      <w:r w:rsidRPr="00C37F76">
        <w:rPr>
          <w:rFonts w:eastAsia="Times New Roman" w:cs="Times New Roman"/>
        </w:rPr>
        <w:t xml:space="preserve"> age-friendly approach, </w:t>
      </w:r>
      <w:r>
        <w:rPr>
          <w:rFonts w:eastAsia="Times New Roman" w:cs="Times New Roman"/>
        </w:rPr>
        <w:t xml:space="preserve">which emphasises planning </w:t>
      </w:r>
      <w:r>
        <w:t xml:space="preserve">towards age-friendly cities and communities designed to value the contribution of older people and ensure their access to all aspects of community life. </w:t>
      </w:r>
      <w:r w:rsidRPr="009776C2">
        <w:rPr>
          <w:rFonts w:eastAsia="Times New Roman" w:cs="Times New Roman"/>
        </w:rPr>
        <w:t>The age-friendly approach is recognised globally as a useful and effective way to improve the lives of older people</w:t>
      </w:r>
      <w:r>
        <w:rPr>
          <w:rFonts w:eastAsia="Times New Roman" w:cs="Times New Roman"/>
        </w:rPr>
        <w:t xml:space="preserve"> whilst benefitting </w:t>
      </w:r>
      <w:r w:rsidRPr="009776C2">
        <w:rPr>
          <w:rFonts w:eastAsia="Times New Roman" w:cs="Times New Roman"/>
        </w:rPr>
        <w:t>people of all ages.</w:t>
      </w:r>
    </w:p>
    <w:p w14:paraId="78B4BC77" w14:textId="77777777" w:rsidR="000D18B4" w:rsidRPr="009D21B0" w:rsidRDefault="000D18B4" w:rsidP="000D18B4">
      <w:pPr>
        <w:rPr>
          <w:szCs w:val="24"/>
        </w:rPr>
      </w:pPr>
      <w:r w:rsidRPr="009776C2">
        <w:rPr>
          <w:rFonts w:eastAsia="Times New Roman" w:cs="Times New Roman"/>
        </w:rPr>
        <w:t>An age-</w:t>
      </w:r>
      <w:r w:rsidRPr="009D21B0">
        <w:rPr>
          <w:szCs w:val="24"/>
        </w:rPr>
        <w:t>friendly community ensures people are free from age-related barriers that prevent their participation and inclusion.</w:t>
      </w:r>
    </w:p>
    <w:p w14:paraId="48AF1FA2" w14:textId="59729CDD" w:rsidR="000D18B4" w:rsidRPr="009776C2" w:rsidRDefault="000D18B4" w:rsidP="009D21B0">
      <w:r w:rsidRPr="002A0A3C">
        <w:rPr>
          <w:szCs w:val="24"/>
        </w:rPr>
        <w:t>In Queensland</w:t>
      </w:r>
      <w:r w:rsidR="005C0CA5">
        <w:rPr>
          <w:szCs w:val="24"/>
        </w:rPr>
        <w:t>,</w:t>
      </w:r>
      <w:r>
        <w:t xml:space="preserve"> t</w:t>
      </w:r>
      <w:r w:rsidRPr="009776C2">
        <w:t>he eight age-friendly domains are:</w:t>
      </w:r>
    </w:p>
    <w:p w14:paraId="015D742E" w14:textId="77777777" w:rsidR="000D18B4" w:rsidRPr="009776C2" w:rsidRDefault="000D18B4" w:rsidP="004363AF">
      <w:pPr>
        <w:pStyle w:val="ListParagraph"/>
        <w:numPr>
          <w:ilvl w:val="0"/>
          <w:numId w:val="21"/>
        </w:numPr>
        <w:rPr>
          <w:color w:val="000000"/>
        </w:rPr>
      </w:pPr>
      <w:r w:rsidRPr="009776C2">
        <w:rPr>
          <w:color w:val="000000"/>
        </w:rPr>
        <w:t>transportation</w:t>
      </w:r>
    </w:p>
    <w:p w14:paraId="793EB285" w14:textId="77777777" w:rsidR="000D18B4" w:rsidRPr="009776C2" w:rsidRDefault="000D18B4" w:rsidP="004363AF">
      <w:pPr>
        <w:pStyle w:val="ListParagraph"/>
        <w:numPr>
          <w:ilvl w:val="0"/>
          <w:numId w:val="21"/>
        </w:numPr>
        <w:rPr>
          <w:color w:val="000000"/>
        </w:rPr>
      </w:pPr>
      <w:r w:rsidRPr="009776C2">
        <w:rPr>
          <w:color w:val="000000"/>
        </w:rPr>
        <w:t>outdoor spaces and building</w:t>
      </w:r>
    </w:p>
    <w:p w14:paraId="75537FCA" w14:textId="77777777" w:rsidR="000D18B4" w:rsidRPr="009776C2" w:rsidRDefault="000D18B4" w:rsidP="004363AF">
      <w:pPr>
        <w:pStyle w:val="ListParagraph"/>
        <w:numPr>
          <w:ilvl w:val="0"/>
          <w:numId w:val="21"/>
        </w:numPr>
        <w:rPr>
          <w:color w:val="000000"/>
        </w:rPr>
      </w:pPr>
      <w:r w:rsidRPr="009776C2">
        <w:rPr>
          <w:color w:val="000000"/>
        </w:rPr>
        <w:t>housing</w:t>
      </w:r>
    </w:p>
    <w:p w14:paraId="1F5A6E48" w14:textId="77777777" w:rsidR="000D18B4" w:rsidRPr="009776C2" w:rsidRDefault="000D18B4" w:rsidP="004363AF">
      <w:pPr>
        <w:pStyle w:val="ListParagraph"/>
        <w:numPr>
          <w:ilvl w:val="0"/>
          <w:numId w:val="21"/>
        </w:numPr>
        <w:rPr>
          <w:color w:val="000000"/>
        </w:rPr>
      </w:pPr>
      <w:r w:rsidRPr="009776C2">
        <w:rPr>
          <w:color w:val="000000"/>
        </w:rPr>
        <w:t>respect and social inclusion</w:t>
      </w:r>
    </w:p>
    <w:p w14:paraId="6B458A68" w14:textId="77777777" w:rsidR="000D18B4" w:rsidRPr="009776C2" w:rsidRDefault="000D18B4" w:rsidP="004363AF">
      <w:pPr>
        <w:pStyle w:val="ListParagraph"/>
        <w:numPr>
          <w:ilvl w:val="0"/>
          <w:numId w:val="21"/>
        </w:numPr>
        <w:rPr>
          <w:color w:val="000000"/>
        </w:rPr>
      </w:pPr>
      <w:r w:rsidRPr="009776C2">
        <w:rPr>
          <w:color w:val="000000"/>
        </w:rPr>
        <w:lastRenderedPageBreak/>
        <w:t>social participation</w:t>
      </w:r>
    </w:p>
    <w:p w14:paraId="65DBB835" w14:textId="77777777" w:rsidR="000D18B4" w:rsidRPr="009776C2" w:rsidRDefault="000D18B4" w:rsidP="004363AF">
      <w:pPr>
        <w:pStyle w:val="ListParagraph"/>
        <w:numPr>
          <w:ilvl w:val="0"/>
          <w:numId w:val="21"/>
        </w:numPr>
        <w:rPr>
          <w:color w:val="000000"/>
        </w:rPr>
      </w:pPr>
      <w:r w:rsidRPr="009776C2">
        <w:rPr>
          <w:color w:val="000000"/>
        </w:rPr>
        <w:t>communication and information</w:t>
      </w:r>
    </w:p>
    <w:p w14:paraId="3936AFFB" w14:textId="77777777" w:rsidR="000D18B4" w:rsidRPr="009776C2" w:rsidRDefault="000D18B4" w:rsidP="004363AF">
      <w:pPr>
        <w:pStyle w:val="ListParagraph"/>
        <w:numPr>
          <w:ilvl w:val="0"/>
          <w:numId w:val="21"/>
        </w:numPr>
        <w:rPr>
          <w:color w:val="000000"/>
        </w:rPr>
      </w:pPr>
      <w:r w:rsidRPr="009776C2">
        <w:rPr>
          <w:color w:val="000000"/>
        </w:rPr>
        <w:t>civic participation and employment opportunities</w:t>
      </w:r>
    </w:p>
    <w:p w14:paraId="020A0B27" w14:textId="77777777" w:rsidR="000D18B4" w:rsidRPr="009776C2" w:rsidRDefault="000D18B4" w:rsidP="004363AF">
      <w:pPr>
        <w:pStyle w:val="ListParagraph"/>
        <w:numPr>
          <w:ilvl w:val="0"/>
          <w:numId w:val="21"/>
        </w:numPr>
        <w:rPr>
          <w:color w:val="000000"/>
        </w:rPr>
      </w:pPr>
      <w:r w:rsidRPr="009776C2">
        <w:rPr>
          <w:color w:val="000000"/>
        </w:rPr>
        <w:t>community support and health services.</w:t>
      </w:r>
    </w:p>
    <w:p w14:paraId="565A77E9" w14:textId="77777777" w:rsidR="000D18B4" w:rsidRPr="009776C2" w:rsidRDefault="000D18B4" w:rsidP="000D18B4">
      <w:r>
        <w:t>The</w:t>
      </w:r>
      <w:r w:rsidRPr="009776C2">
        <w:t xml:space="preserve"> goal for the housing domain is:</w:t>
      </w:r>
    </w:p>
    <w:p w14:paraId="67B70DF2" w14:textId="77777777" w:rsidR="000D18B4" w:rsidRDefault="000D18B4" w:rsidP="000D18B4">
      <w:pPr>
        <w:rPr>
          <w:rFonts w:eastAsia="Times New Roman" w:cs="Times New Roman"/>
          <w:i/>
        </w:rPr>
      </w:pPr>
      <w:r w:rsidRPr="00C37F76">
        <w:rPr>
          <w:rFonts w:eastAsia="Times New Roman" w:cs="Times New Roman"/>
          <w:i/>
        </w:rPr>
        <w:t>Seniors’ housing options are affordable, accessible and close to transport and community services.</w:t>
      </w:r>
    </w:p>
    <w:p w14:paraId="749EE7C2" w14:textId="007F7907" w:rsidR="000D18B4" w:rsidRPr="00B865E4" w:rsidRDefault="000D18B4" w:rsidP="000D18B4">
      <w:pPr>
        <w:rPr>
          <w:rFonts w:eastAsia="Times New Roman" w:cs="Times New Roman"/>
        </w:rPr>
      </w:pPr>
      <w:r>
        <w:rPr>
          <w:rFonts w:eastAsia="Times New Roman" w:cs="Times New Roman"/>
        </w:rPr>
        <w:t>The work of the Taskforce touche</w:t>
      </w:r>
      <w:r w:rsidR="005C0CA5">
        <w:rPr>
          <w:rFonts w:eastAsia="Times New Roman" w:cs="Times New Roman"/>
        </w:rPr>
        <w:t>d</w:t>
      </w:r>
      <w:r>
        <w:rPr>
          <w:rFonts w:eastAsia="Times New Roman" w:cs="Times New Roman"/>
        </w:rPr>
        <w:t xml:space="preserve"> all the age-friendly domains and the Taskforce findings and recommendations </w:t>
      </w:r>
      <w:r w:rsidR="005C0CA5">
        <w:rPr>
          <w:rFonts w:eastAsia="Times New Roman" w:cs="Times New Roman"/>
        </w:rPr>
        <w:t xml:space="preserve">align with, and </w:t>
      </w:r>
      <w:r>
        <w:rPr>
          <w:rFonts w:eastAsia="Times New Roman" w:cs="Times New Roman"/>
        </w:rPr>
        <w:t xml:space="preserve">build on, </w:t>
      </w:r>
      <w:r w:rsidRPr="00C37F76">
        <w:rPr>
          <w:rFonts w:eastAsia="Times New Roman" w:cs="Times New Roman"/>
          <w:i/>
        </w:rPr>
        <w:t>Queensland: an age-friendly community</w:t>
      </w:r>
      <w:r w:rsidRPr="009776C2">
        <w:rPr>
          <w:rFonts w:eastAsia="Times New Roman" w:cs="Times New Roman"/>
          <w:i/>
        </w:rPr>
        <w:t>.</w:t>
      </w:r>
    </w:p>
    <w:p w14:paraId="2ECF3345" w14:textId="578C282F" w:rsidR="000D18B4" w:rsidRDefault="000D18B4" w:rsidP="000D18B4">
      <w:pPr>
        <w:rPr>
          <w:rFonts w:ascii="Helvetica" w:hAnsi="Helvetica"/>
          <w:color w:val="444444"/>
          <w:shd w:val="clear" w:color="auto" w:fill="FFFFFF"/>
        </w:rPr>
      </w:pPr>
      <w:r w:rsidRPr="00880974">
        <w:rPr>
          <w:rFonts w:eastAsia="Times New Roman" w:cs="Times New Roman"/>
        </w:rPr>
        <w:t xml:space="preserve">The Queensland </w:t>
      </w:r>
      <w:r w:rsidR="005C0CA5">
        <w:rPr>
          <w:rFonts w:eastAsia="Times New Roman" w:cs="Times New Roman"/>
        </w:rPr>
        <w:t>G</w:t>
      </w:r>
      <w:r w:rsidRPr="00880974">
        <w:rPr>
          <w:rFonts w:eastAsia="Times New Roman" w:cs="Times New Roman"/>
        </w:rPr>
        <w:t xml:space="preserve">overnment is developing a new 10 year </w:t>
      </w:r>
      <w:r w:rsidR="00BA0501">
        <w:rPr>
          <w:rFonts w:eastAsia="Times New Roman" w:cs="Times New Roman"/>
        </w:rPr>
        <w:t>h</w:t>
      </w:r>
      <w:r w:rsidRPr="00880974">
        <w:rPr>
          <w:rFonts w:eastAsia="Times New Roman" w:cs="Times New Roman"/>
        </w:rPr>
        <w:t xml:space="preserve">ousing </w:t>
      </w:r>
      <w:r w:rsidR="001D1C56">
        <w:rPr>
          <w:rFonts w:eastAsia="Times New Roman" w:cs="Times New Roman"/>
        </w:rPr>
        <w:t>s</w:t>
      </w:r>
      <w:r w:rsidR="001D1C56" w:rsidRPr="00880974">
        <w:rPr>
          <w:rFonts w:eastAsia="Times New Roman" w:cs="Times New Roman"/>
        </w:rPr>
        <w:t>trategy</w:t>
      </w:r>
      <w:r w:rsidRPr="00880974">
        <w:rPr>
          <w:rFonts w:eastAsia="Times New Roman" w:cs="Times New Roman"/>
        </w:rPr>
        <w:t xml:space="preserve"> for Queensland. </w:t>
      </w:r>
      <w:r w:rsidR="00BA0501">
        <w:rPr>
          <w:rFonts w:eastAsia="Times New Roman" w:cs="Times New Roman"/>
        </w:rPr>
        <w:t xml:space="preserve">It </w:t>
      </w:r>
      <w:r>
        <w:rPr>
          <w:rFonts w:eastAsia="Times New Roman" w:cs="Times New Roman"/>
        </w:rPr>
        <w:t xml:space="preserve">will aim </w:t>
      </w:r>
      <w:r w:rsidRPr="00880974">
        <w:rPr>
          <w:rFonts w:eastAsia="Times New Roman" w:cs="Times New Roman"/>
        </w:rPr>
        <w:t xml:space="preserve">to provide safe, secure and affordable housing options for all Queenslanders. </w:t>
      </w:r>
      <w:r w:rsidRPr="00B865E4">
        <w:rPr>
          <w:rFonts w:eastAsia="Times New Roman" w:cs="Times New Roman"/>
        </w:rPr>
        <w:t xml:space="preserve">The </w:t>
      </w:r>
      <w:r w:rsidRPr="00B865E4">
        <w:rPr>
          <w:rFonts w:eastAsia="Times New Roman" w:cs="Times New Roman"/>
          <w:i/>
        </w:rPr>
        <w:t>Working together for better housing and sustainable communities</w:t>
      </w:r>
      <w:r>
        <w:rPr>
          <w:rFonts w:ascii="Helvetica" w:hAnsi="Helvetica"/>
          <w:color w:val="444444"/>
        </w:rPr>
        <w:t xml:space="preserve"> </w:t>
      </w:r>
      <w:r w:rsidRPr="00B865E4">
        <w:rPr>
          <w:rFonts w:eastAsia="Times New Roman" w:cs="Times New Roman"/>
        </w:rPr>
        <w:t xml:space="preserve">discussion paper was </w:t>
      </w:r>
      <w:r>
        <w:rPr>
          <w:rFonts w:eastAsia="Times New Roman" w:cs="Times New Roman"/>
        </w:rPr>
        <w:t xml:space="preserve">released for public consultation in </w:t>
      </w:r>
      <w:r w:rsidRPr="00B865E4">
        <w:rPr>
          <w:rFonts w:eastAsia="Times New Roman" w:cs="Times New Roman"/>
        </w:rPr>
        <w:t xml:space="preserve">March this year. </w:t>
      </w:r>
      <w:r>
        <w:rPr>
          <w:rFonts w:eastAsia="Times New Roman" w:cs="Times New Roman"/>
        </w:rPr>
        <w:t>T</w:t>
      </w:r>
      <w:r w:rsidRPr="00C37F76">
        <w:rPr>
          <w:rFonts w:eastAsia="Times New Roman" w:cs="Times New Roman"/>
        </w:rPr>
        <w:t xml:space="preserve">he findings and recommendations of the Taskforce will be a key input into the development of the </w:t>
      </w:r>
      <w:r w:rsidR="00BA0501">
        <w:rPr>
          <w:rFonts w:eastAsia="Times New Roman" w:cs="Times New Roman"/>
        </w:rPr>
        <w:t>h</w:t>
      </w:r>
      <w:r>
        <w:rPr>
          <w:rFonts w:eastAsia="Times New Roman" w:cs="Times New Roman"/>
        </w:rPr>
        <w:t xml:space="preserve">ousing </w:t>
      </w:r>
      <w:r w:rsidR="001D1C56">
        <w:rPr>
          <w:rFonts w:eastAsia="Times New Roman" w:cs="Times New Roman"/>
        </w:rPr>
        <w:t>strategy</w:t>
      </w:r>
      <w:r w:rsidR="00BA0501">
        <w:rPr>
          <w:rFonts w:eastAsia="Times New Roman" w:cs="Times New Roman"/>
        </w:rPr>
        <w:t>,</w:t>
      </w:r>
      <w:r>
        <w:rPr>
          <w:rFonts w:eastAsia="Times New Roman" w:cs="Times New Roman"/>
        </w:rPr>
        <w:t xml:space="preserve"> which </w:t>
      </w:r>
      <w:r w:rsidRPr="00B865E4">
        <w:rPr>
          <w:rFonts w:eastAsia="Times New Roman" w:cs="Times New Roman"/>
        </w:rPr>
        <w:t>is expected to be delivered by the end of 2016</w:t>
      </w:r>
      <w:r>
        <w:rPr>
          <w:rFonts w:ascii="Helvetica" w:hAnsi="Helvetica"/>
          <w:color w:val="444444"/>
          <w:shd w:val="clear" w:color="auto" w:fill="FFFFFF"/>
        </w:rPr>
        <w:t>.</w:t>
      </w:r>
    </w:p>
    <w:p w14:paraId="5DEEABEA" w14:textId="77777777" w:rsidR="007463EE" w:rsidRDefault="007463EE" w:rsidP="000D18B4">
      <w:pPr>
        <w:rPr>
          <w:rFonts w:eastAsia="Times New Roman" w:cs="Times New Roman"/>
        </w:rPr>
      </w:pPr>
      <w:r>
        <w:rPr>
          <w:rFonts w:eastAsia="Times New Roman" w:cs="Times New Roman"/>
        </w:rPr>
        <w:br w:type="page"/>
      </w:r>
    </w:p>
    <w:p w14:paraId="284625A6" w14:textId="77777777" w:rsidR="000D18B4" w:rsidRPr="00C37F76" w:rsidRDefault="000D18B4" w:rsidP="000D18B4">
      <w:pPr>
        <w:rPr>
          <w:rFonts w:eastAsia="Times New Roman" w:cs="Times New Roman"/>
        </w:rPr>
      </w:pPr>
    </w:p>
    <w:p w14:paraId="261F0B87" w14:textId="72CCAA93" w:rsidR="000D18B4" w:rsidRPr="00E820DE" w:rsidRDefault="000D18B4" w:rsidP="000D18B4">
      <w:pPr>
        <w:pStyle w:val="Heading1"/>
      </w:pPr>
      <w:bookmarkStart w:id="454" w:name="_Toc460257495"/>
      <w:r>
        <w:t xml:space="preserve">WHAT </w:t>
      </w:r>
      <w:r w:rsidR="00C625F7">
        <w:t xml:space="preserve">THE COMMUNITY </w:t>
      </w:r>
      <w:r w:rsidR="001D1C56">
        <w:t>TOLD THE TASKFORCE</w:t>
      </w:r>
      <w:bookmarkEnd w:id="454"/>
    </w:p>
    <w:p w14:paraId="6B79C7BD" w14:textId="36B6588E" w:rsidR="000D18B4" w:rsidRDefault="00E6266F" w:rsidP="000D18B4">
      <w:pPr>
        <w:pStyle w:val="Heading2"/>
      </w:pPr>
      <w:bookmarkStart w:id="455" w:name="_Toc460257496"/>
      <w:r>
        <w:t>H</w:t>
      </w:r>
      <w:r w:rsidR="000D18B4">
        <w:t xml:space="preserve">ousing concerns </w:t>
      </w:r>
      <w:r>
        <w:t>of</w:t>
      </w:r>
      <w:r w:rsidR="000D18B4">
        <w:t xml:space="preserve"> older Queenslanders</w:t>
      </w:r>
      <w:bookmarkEnd w:id="455"/>
    </w:p>
    <w:p w14:paraId="39F08DAE" w14:textId="4607FAA8" w:rsidR="000D18B4" w:rsidRDefault="00E6266F" w:rsidP="000D18B4">
      <w:r>
        <w:t>In t</w:t>
      </w:r>
      <w:r w:rsidR="000D18B4">
        <w:t>he Taskforce</w:t>
      </w:r>
      <w:r>
        <w:t>’s</w:t>
      </w:r>
      <w:r w:rsidR="000D18B4">
        <w:t xml:space="preserve"> consultation sessions and </w:t>
      </w:r>
      <w:r>
        <w:t xml:space="preserve">submissions </w:t>
      </w:r>
      <w:r w:rsidR="000D18B4">
        <w:t xml:space="preserve">received </w:t>
      </w:r>
      <w:r>
        <w:t>from the</w:t>
      </w:r>
      <w:r w:rsidR="000D18B4">
        <w:t xml:space="preserve"> community</w:t>
      </w:r>
      <w:r>
        <w:t>, t</w:t>
      </w:r>
      <w:r w:rsidR="000D18B4">
        <w:t xml:space="preserve">hree overarching themes </w:t>
      </w:r>
      <w:r>
        <w:t>kept being</w:t>
      </w:r>
      <w:r w:rsidR="000D18B4">
        <w:t xml:space="preserve"> raised by older people:</w:t>
      </w:r>
    </w:p>
    <w:p w14:paraId="5C7814F7" w14:textId="7B8EE2F5" w:rsidR="000D18B4" w:rsidRDefault="000D18B4" w:rsidP="004363AF">
      <w:pPr>
        <w:pStyle w:val="ListParagraph"/>
        <w:numPr>
          <w:ilvl w:val="0"/>
          <w:numId w:val="22"/>
        </w:numPr>
      </w:pPr>
      <w:r w:rsidRPr="00EC7198">
        <w:rPr>
          <w:b/>
        </w:rPr>
        <w:t>Diversity</w:t>
      </w:r>
      <w:r>
        <w:t xml:space="preserve"> –</w:t>
      </w:r>
      <w:r w:rsidR="00E6266F">
        <w:t xml:space="preserve"> </w:t>
      </w:r>
      <w:r>
        <w:t xml:space="preserve">older people are not a homogenous group. </w:t>
      </w:r>
      <w:r w:rsidR="00E6266F">
        <w:t>The community needs a</w:t>
      </w:r>
      <w:r>
        <w:t xml:space="preserve"> spectrum of housing options and choices to cater to that diversity</w:t>
      </w:r>
      <w:r w:rsidR="00E6266F">
        <w:t>.</w:t>
      </w:r>
    </w:p>
    <w:p w14:paraId="05C92FE2" w14:textId="7BADEC1E" w:rsidR="000D18B4" w:rsidRDefault="000D18B4" w:rsidP="004363AF">
      <w:pPr>
        <w:pStyle w:val="ListParagraph"/>
        <w:numPr>
          <w:ilvl w:val="0"/>
          <w:numId w:val="22"/>
        </w:numPr>
      </w:pPr>
      <w:r>
        <w:rPr>
          <w:b/>
        </w:rPr>
        <w:t xml:space="preserve">Independence </w:t>
      </w:r>
      <w:r>
        <w:t>–</w:t>
      </w:r>
      <w:r w:rsidR="00E6266F">
        <w:t xml:space="preserve"> </w:t>
      </w:r>
      <w:r>
        <w:t xml:space="preserve">older people want to live independently in the community for as long as possible. </w:t>
      </w:r>
      <w:r w:rsidR="00E6266F">
        <w:t>O</w:t>
      </w:r>
      <w:r>
        <w:t>lder people want to make their own decisions about housing at their own pace, but they need to have all the information necessary to make good decisions</w:t>
      </w:r>
      <w:r w:rsidR="00E6266F">
        <w:t>.</w:t>
      </w:r>
      <w:r>
        <w:t xml:space="preserve">  </w:t>
      </w:r>
    </w:p>
    <w:p w14:paraId="123EB703" w14:textId="5A483914" w:rsidR="000D18B4" w:rsidRPr="006B459E" w:rsidRDefault="000D18B4" w:rsidP="004363AF">
      <w:pPr>
        <w:pStyle w:val="ListParagraph"/>
        <w:numPr>
          <w:ilvl w:val="0"/>
          <w:numId w:val="22"/>
        </w:numPr>
      </w:pPr>
      <w:r>
        <w:rPr>
          <w:b/>
        </w:rPr>
        <w:t xml:space="preserve">Community </w:t>
      </w:r>
      <w:r>
        <w:t>–</w:t>
      </w:r>
      <w:r w:rsidR="00E6266F">
        <w:t xml:space="preserve"> </w:t>
      </w:r>
      <w:r>
        <w:t xml:space="preserve">older people want to be connected to their community as it provides social connections, support, opportunities and a stimulating environment.  </w:t>
      </w:r>
    </w:p>
    <w:p w14:paraId="0AFFB3A0" w14:textId="5872CF9D" w:rsidR="000D18B4" w:rsidRDefault="000D18B4" w:rsidP="000D18B4">
      <w:r>
        <w:t xml:space="preserve">Through the community survey for the development of </w:t>
      </w:r>
      <w:hyperlink r:id="rId17" w:history="1">
        <w:r w:rsidRPr="00DC7291">
          <w:rPr>
            <w:rStyle w:val="Hyperlink"/>
            <w:i/>
            <w:color w:val="auto"/>
            <w:u w:val="none"/>
          </w:rPr>
          <w:t>Queensland: an age friendly community</w:t>
        </w:r>
      </w:hyperlink>
      <w:r>
        <w:t xml:space="preserve">, older Queenslanders </w:t>
      </w:r>
      <w:r w:rsidR="00E6266F">
        <w:t>said that their key issues with</w:t>
      </w:r>
      <w:r>
        <w:t xml:space="preserve"> housing and related </w:t>
      </w:r>
      <w:r w:rsidR="00E6266F">
        <w:t xml:space="preserve">factors </w:t>
      </w:r>
      <w:r>
        <w:t>were:</w:t>
      </w:r>
    </w:p>
    <w:p w14:paraId="0E9ACA2F" w14:textId="0D52588C" w:rsidR="000D18B4" w:rsidRDefault="00467E94" w:rsidP="0005526D">
      <w:pPr>
        <w:pStyle w:val="ListParagraph"/>
        <w:numPr>
          <w:ilvl w:val="0"/>
          <w:numId w:val="10"/>
        </w:numPr>
      </w:pPr>
      <w:r>
        <w:t>h</w:t>
      </w:r>
      <w:r w:rsidR="000D18B4">
        <w:t xml:space="preserve">ousing </w:t>
      </w:r>
      <w:r w:rsidR="00E6266F">
        <w:t>must be</w:t>
      </w:r>
      <w:r w:rsidR="000D18B4">
        <w:t xml:space="preserve"> accessible to public transport and services</w:t>
      </w:r>
    </w:p>
    <w:p w14:paraId="634B245F" w14:textId="62A6C2AC" w:rsidR="000D18B4" w:rsidRDefault="00467E94" w:rsidP="0005526D">
      <w:pPr>
        <w:pStyle w:val="ListParagraph"/>
        <w:numPr>
          <w:ilvl w:val="0"/>
          <w:numId w:val="10"/>
        </w:numPr>
      </w:pPr>
      <w:r>
        <w:t>t</w:t>
      </w:r>
      <w:r w:rsidR="00E6266F">
        <w:t xml:space="preserve">here is a </w:t>
      </w:r>
      <w:r w:rsidR="000D18B4">
        <w:t>need for more affordable housing options</w:t>
      </w:r>
    </w:p>
    <w:p w14:paraId="54BF2C4C" w14:textId="6303896A" w:rsidR="000D18B4" w:rsidRDefault="00467E94" w:rsidP="0005526D">
      <w:pPr>
        <w:pStyle w:val="ListParagraph"/>
        <w:numPr>
          <w:ilvl w:val="0"/>
          <w:numId w:val="10"/>
        </w:numPr>
      </w:pPr>
      <w:r>
        <w:t>t</w:t>
      </w:r>
      <w:r w:rsidR="00E6266F">
        <w:t xml:space="preserve">here is a </w:t>
      </w:r>
      <w:r w:rsidR="000D18B4">
        <w:t>need for more housing for older people with limited mobility</w:t>
      </w:r>
      <w:r w:rsidR="00E6266F">
        <w:t>,</w:t>
      </w:r>
      <w:r w:rsidR="000D18B4">
        <w:t xml:space="preserve"> including better access for wheelchair users</w:t>
      </w:r>
    </w:p>
    <w:p w14:paraId="45134D01" w14:textId="2A908F84" w:rsidR="000D18B4" w:rsidRDefault="00467E94" w:rsidP="0005526D">
      <w:pPr>
        <w:pStyle w:val="ListParagraph"/>
        <w:numPr>
          <w:ilvl w:val="0"/>
          <w:numId w:val="10"/>
        </w:numPr>
      </w:pPr>
      <w:r>
        <w:t>h</w:t>
      </w:r>
      <w:r w:rsidR="000D18B4">
        <w:t>ousing should be integrated in the wider community, but there should be options for ‘seniors only’ housing for those who prefer it</w:t>
      </w:r>
    </w:p>
    <w:p w14:paraId="107E00B3" w14:textId="63599954" w:rsidR="000D18B4" w:rsidRDefault="00467E94" w:rsidP="0005526D">
      <w:pPr>
        <w:pStyle w:val="ListParagraph"/>
        <w:numPr>
          <w:ilvl w:val="0"/>
          <w:numId w:val="10"/>
        </w:numPr>
      </w:pPr>
      <w:r>
        <w:t>s</w:t>
      </w:r>
      <w:r w:rsidR="000D18B4">
        <w:t xml:space="preserve">upport </w:t>
      </w:r>
      <w:r w:rsidR="00E6266F">
        <w:t xml:space="preserve">is required </w:t>
      </w:r>
      <w:r w:rsidR="000D18B4">
        <w:t>to help older people stay in their homes</w:t>
      </w:r>
      <w:r w:rsidR="00E6266F">
        <w:t>. This should include</w:t>
      </w:r>
      <w:r w:rsidR="000D18B4">
        <w:t xml:space="preserve"> financial assistance, help with maintenance and the cost of rates, and better information about what is available for older people</w:t>
      </w:r>
    </w:p>
    <w:p w14:paraId="4CED84A1" w14:textId="0B0F25A9" w:rsidR="000D18B4" w:rsidRDefault="00467E94" w:rsidP="0005526D">
      <w:pPr>
        <w:pStyle w:val="ListParagraph"/>
        <w:numPr>
          <w:ilvl w:val="0"/>
          <w:numId w:val="10"/>
        </w:numPr>
      </w:pPr>
      <w:r>
        <w:t>t</w:t>
      </w:r>
      <w:r w:rsidR="00E6266F">
        <w:t>here is a</w:t>
      </w:r>
      <w:r w:rsidR="000D18B4">
        <w:t xml:space="preserve"> need for more aged care facilities.</w:t>
      </w:r>
    </w:p>
    <w:p w14:paraId="4F05F7C5" w14:textId="171720AB" w:rsidR="000D18B4" w:rsidRDefault="000D18B4" w:rsidP="000D18B4">
      <w:r>
        <w:t>Consultation</w:t>
      </w:r>
      <w:r w:rsidRPr="000F0B20">
        <w:t xml:space="preserve"> conducted </w:t>
      </w:r>
      <w:r>
        <w:t xml:space="preserve">by the Queensland Government </w:t>
      </w:r>
      <w:r w:rsidRPr="000F0B20">
        <w:t xml:space="preserve">as part of the </w:t>
      </w:r>
      <w:r w:rsidRPr="000F0B20">
        <w:rPr>
          <w:i/>
        </w:rPr>
        <w:t>Working together for better housing and sustainable communities discussion paper</w:t>
      </w:r>
      <w:r w:rsidRPr="000F0B20">
        <w:t xml:space="preserve"> indicates that </w:t>
      </w:r>
      <w:r>
        <w:t>many of the housing issues affecting older people are the same as those for all age groups. These include:</w:t>
      </w:r>
    </w:p>
    <w:p w14:paraId="32FF0DE5" w14:textId="6D4CEE80" w:rsidR="000D18B4" w:rsidRDefault="00D724D5" w:rsidP="004363AF">
      <w:pPr>
        <w:pStyle w:val="ListParagraph"/>
        <w:numPr>
          <w:ilvl w:val="0"/>
          <w:numId w:val="23"/>
        </w:numPr>
      </w:pPr>
      <w:r>
        <w:t>t</w:t>
      </w:r>
      <w:r w:rsidR="000D18B4">
        <w:t>he importance of increasing the supply of affordable housing, especially rental housing</w:t>
      </w:r>
    </w:p>
    <w:p w14:paraId="7DC4CF0C" w14:textId="3B668F0C" w:rsidR="000D18B4" w:rsidRDefault="00D724D5" w:rsidP="004363AF">
      <w:pPr>
        <w:pStyle w:val="ListParagraph"/>
        <w:numPr>
          <w:ilvl w:val="0"/>
          <w:numId w:val="23"/>
        </w:numPr>
      </w:pPr>
      <w:r>
        <w:t>t</w:t>
      </w:r>
      <w:r w:rsidR="000D18B4">
        <w:t>he need for government and the private and community sectors to work together</w:t>
      </w:r>
    </w:p>
    <w:p w14:paraId="0247FCCB" w14:textId="688AA46F" w:rsidR="000D18B4" w:rsidRDefault="00D724D5" w:rsidP="004363AF">
      <w:pPr>
        <w:pStyle w:val="ListParagraph"/>
        <w:numPr>
          <w:ilvl w:val="0"/>
          <w:numId w:val="23"/>
        </w:numPr>
      </w:pPr>
      <w:r>
        <w:t>t</w:t>
      </w:r>
      <w:r w:rsidR="000D18B4">
        <w:t>he need to address planning processes to create inclusive communities</w:t>
      </w:r>
    </w:p>
    <w:p w14:paraId="1EB9ADEC" w14:textId="29D337CD" w:rsidR="000D18B4" w:rsidRDefault="00D724D5" w:rsidP="004363AF">
      <w:pPr>
        <w:pStyle w:val="ListParagraph"/>
        <w:numPr>
          <w:ilvl w:val="0"/>
          <w:numId w:val="23"/>
        </w:numPr>
      </w:pPr>
      <w:r>
        <w:t>t</w:t>
      </w:r>
      <w:r w:rsidR="000D18B4">
        <w:t>he need for a client-centred approach and a flexible range of responses to housing needs</w:t>
      </w:r>
    </w:p>
    <w:p w14:paraId="5451F6B9" w14:textId="27108885" w:rsidR="000D18B4" w:rsidRDefault="00D724D5" w:rsidP="004363AF">
      <w:pPr>
        <w:pStyle w:val="ListParagraph"/>
        <w:numPr>
          <w:ilvl w:val="0"/>
          <w:numId w:val="23"/>
        </w:numPr>
      </w:pPr>
      <w:r>
        <w:t>t</w:t>
      </w:r>
      <w:r w:rsidR="000D18B4">
        <w:t>he importance of addressing the distinct housing needs of people with a physical disability.</w:t>
      </w:r>
    </w:p>
    <w:p w14:paraId="67730CB1" w14:textId="40521003" w:rsidR="000D18B4" w:rsidRDefault="000D18B4" w:rsidP="000D18B4">
      <w:r>
        <w:t>Issues affecting older people and their housing were also highlighted:</w:t>
      </w:r>
    </w:p>
    <w:p w14:paraId="43BADB4F" w14:textId="273D17B0" w:rsidR="000D18B4" w:rsidRDefault="00D724D5" w:rsidP="004363AF">
      <w:pPr>
        <w:pStyle w:val="ListParagraph"/>
        <w:numPr>
          <w:ilvl w:val="0"/>
          <w:numId w:val="24"/>
        </w:numPr>
      </w:pPr>
      <w:r>
        <w:t>t</w:t>
      </w:r>
      <w:r w:rsidR="000D18B4">
        <w:t xml:space="preserve">he need to address the lack of supply of affordable and accessible housing for older people which is </w:t>
      </w:r>
      <w:r>
        <w:t>‘</w:t>
      </w:r>
      <w:r w:rsidR="000D18B4">
        <w:t>right-sized</w:t>
      </w:r>
      <w:r>
        <w:t>’</w:t>
      </w:r>
      <w:r w:rsidR="000D18B4">
        <w:rPr>
          <w:rStyle w:val="FootnoteReference"/>
        </w:rPr>
        <w:footnoteReference w:id="22"/>
      </w:r>
      <w:r w:rsidR="000D18B4">
        <w:t xml:space="preserve"> and close to services and transport</w:t>
      </w:r>
    </w:p>
    <w:p w14:paraId="727C4CF3" w14:textId="6DC2712F" w:rsidR="000D18B4" w:rsidRDefault="00D724D5" w:rsidP="004363AF">
      <w:pPr>
        <w:pStyle w:val="ListParagraph"/>
        <w:numPr>
          <w:ilvl w:val="0"/>
          <w:numId w:val="24"/>
        </w:numPr>
      </w:pPr>
      <w:r>
        <w:t>t</w:t>
      </w:r>
      <w:r w:rsidR="000D18B4">
        <w:t>he emergence of a vulnerable group of low income and low savings retirees</w:t>
      </w:r>
    </w:p>
    <w:p w14:paraId="25A0EBA8" w14:textId="7244CE21" w:rsidR="000D18B4" w:rsidRDefault="00D724D5" w:rsidP="004363AF">
      <w:pPr>
        <w:pStyle w:val="ListParagraph"/>
        <w:numPr>
          <w:ilvl w:val="0"/>
          <w:numId w:val="24"/>
        </w:numPr>
      </w:pPr>
      <w:r>
        <w:t>t</w:t>
      </w:r>
      <w:r w:rsidR="000D18B4">
        <w:t>he need for more early intervention programs for older renters at risk, the lack of responses to homeless older people and the need for specialised responses for this group</w:t>
      </w:r>
    </w:p>
    <w:p w14:paraId="297D5CBB" w14:textId="54A4AB0B" w:rsidR="000D18B4" w:rsidRPr="00D52A71" w:rsidRDefault="00D724D5" w:rsidP="004363AF">
      <w:pPr>
        <w:pStyle w:val="ListParagraph"/>
        <w:numPr>
          <w:ilvl w:val="0"/>
          <w:numId w:val="24"/>
        </w:numPr>
      </w:pPr>
      <w:r>
        <w:t>t</w:t>
      </w:r>
      <w:r w:rsidR="000D18B4" w:rsidRPr="006B728C">
        <w:t xml:space="preserve">he lack of support services available to assist older people </w:t>
      </w:r>
      <w:r w:rsidR="000D18B4">
        <w:t xml:space="preserve">at retirement stage </w:t>
      </w:r>
      <w:r w:rsidR="000D18B4" w:rsidRPr="006B728C">
        <w:t>with housing information, advice,</w:t>
      </w:r>
      <w:r w:rsidR="000D18B4">
        <w:t xml:space="preserve"> advocacy, referral and support.</w:t>
      </w:r>
    </w:p>
    <w:p w14:paraId="7DE430E3" w14:textId="11685E2B" w:rsidR="0096070A" w:rsidRPr="00083AA4" w:rsidRDefault="0096070A" w:rsidP="0096070A">
      <w:pPr>
        <w:pStyle w:val="Heading2"/>
      </w:pPr>
      <w:bookmarkStart w:id="456" w:name="_Toc457398892"/>
      <w:bookmarkStart w:id="457" w:name="_Toc457458625"/>
      <w:bookmarkStart w:id="458" w:name="_Toc457467915"/>
      <w:bookmarkStart w:id="459" w:name="_Toc457482924"/>
      <w:bookmarkStart w:id="460" w:name="_Toc457483316"/>
      <w:bookmarkStart w:id="461" w:name="_Toc457506233"/>
      <w:bookmarkStart w:id="462" w:name="_Toc457512260"/>
      <w:bookmarkStart w:id="463" w:name="_Toc457398893"/>
      <w:bookmarkStart w:id="464" w:name="_Toc457458626"/>
      <w:bookmarkStart w:id="465" w:name="_Toc457467916"/>
      <w:bookmarkStart w:id="466" w:name="_Toc457482925"/>
      <w:bookmarkStart w:id="467" w:name="_Toc457483317"/>
      <w:bookmarkStart w:id="468" w:name="_Toc457506234"/>
      <w:bookmarkStart w:id="469" w:name="_Toc457512261"/>
      <w:bookmarkStart w:id="470" w:name="_Toc457398894"/>
      <w:bookmarkStart w:id="471" w:name="_Toc457458627"/>
      <w:bookmarkStart w:id="472" w:name="_Toc457467917"/>
      <w:bookmarkStart w:id="473" w:name="_Toc457482926"/>
      <w:bookmarkStart w:id="474" w:name="_Toc457483318"/>
      <w:bookmarkStart w:id="475" w:name="_Toc457506235"/>
      <w:bookmarkStart w:id="476" w:name="_Toc457512262"/>
      <w:bookmarkStart w:id="477" w:name="_Toc457398895"/>
      <w:bookmarkStart w:id="478" w:name="_Toc457458628"/>
      <w:bookmarkStart w:id="479" w:name="_Toc457467918"/>
      <w:bookmarkStart w:id="480" w:name="_Toc457482927"/>
      <w:bookmarkStart w:id="481" w:name="_Toc457483319"/>
      <w:bookmarkStart w:id="482" w:name="_Toc457506236"/>
      <w:bookmarkStart w:id="483" w:name="_Toc457512263"/>
      <w:bookmarkStart w:id="484" w:name="_Toc457398896"/>
      <w:bookmarkStart w:id="485" w:name="_Toc457458629"/>
      <w:bookmarkStart w:id="486" w:name="_Toc457467919"/>
      <w:bookmarkStart w:id="487" w:name="_Toc457482928"/>
      <w:bookmarkStart w:id="488" w:name="_Toc457483320"/>
      <w:bookmarkStart w:id="489" w:name="_Toc457506237"/>
      <w:bookmarkStart w:id="490" w:name="_Toc457512264"/>
      <w:bookmarkStart w:id="491" w:name="_Toc457398897"/>
      <w:bookmarkStart w:id="492" w:name="_Toc457458630"/>
      <w:bookmarkStart w:id="493" w:name="_Toc457467920"/>
      <w:bookmarkStart w:id="494" w:name="_Toc457482929"/>
      <w:bookmarkStart w:id="495" w:name="_Toc457483321"/>
      <w:bookmarkStart w:id="496" w:name="_Toc457506238"/>
      <w:bookmarkStart w:id="497" w:name="_Toc457512265"/>
      <w:bookmarkStart w:id="498" w:name="_Toc457398898"/>
      <w:bookmarkStart w:id="499" w:name="_Toc457458631"/>
      <w:bookmarkStart w:id="500" w:name="_Toc457467921"/>
      <w:bookmarkStart w:id="501" w:name="_Toc457482930"/>
      <w:bookmarkStart w:id="502" w:name="_Toc457483322"/>
      <w:bookmarkStart w:id="503" w:name="_Toc457506239"/>
      <w:bookmarkStart w:id="504" w:name="_Toc457512266"/>
      <w:bookmarkStart w:id="505" w:name="_Toc457398899"/>
      <w:bookmarkStart w:id="506" w:name="_Toc457458632"/>
      <w:bookmarkStart w:id="507" w:name="_Toc457467922"/>
      <w:bookmarkStart w:id="508" w:name="_Toc457482931"/>
      <w:bookmarkStart w:id="509" w:name="_Toc457483323"/>
      <w:bookmarkStart w:id="510" w:name="_Toc457506240"/>
      <w:bookmarkStart w:id="511" w:name="_Toc457512267"/>
      <w:bookmarkStart w:id="512" w:name="_Toc457398900"/>
      <w:bookmarkStart w:id="513" w:name="_Toc457458633"/>
      <w:bookmarkStart w:id="514" w:name="_Toc457467923"/>
      <w:bookmarkStart w:id="515" w:name="_Toc457482932"/>
      <w:bookmarkStart w:id="516" w:name="_Toc457483324"/>
      <w:bookmarkStart w:id="517" w:name="_Toc457506241"/>
      <w:bookmarkStart w:id="518" w:name="_Toc457512268"/>
      <w:bookmarkStart w:id="519" w:name="_Toc457398901"/>
      <w:bookmarkStart w:id="520" w:name="_Toc457458634"/>
      <w:bookmarkStart w:id="521" w:name="_Toc457467924"/>
      <w:bookmarkStart w:id="522" w:name="_Toc457482933"/>
      <w:bookmarkStart w:id="523" w:name="_Toc457483325"/>
      <w:bookmarkStart w:id="524" w:name="_Toc457506242"/>
      <w:bookmarkStart w:id="525" w:name="_Toc457512269"/>
      <w:bookmarkStart w:id="526" w:name="_Toc457398902"/>
      <w:bookmarkStart w:id="527" w:name="_Toc457458635"/>
      <w:bookmarkStart w:id="528" w:name="_Toc457467925"/>
      <w:bookmarkStart w:id="529" w:name="_Toc457482934"/>
      <w:bookmarkStart w:id="530" w:name="_Toc457483326"/>
      <w:bookmarkStart w:id="531" w:name="_Toc457506243"/>
      <w:bookmarkStart w:id="532" w:name="_Toc457512270"/>
      <w:bookmarkStart w:id="533" w:name="_Toc457398903"/>
      <w:bookmarkStart w:id="534" w:name="_Toc457458636"/>
      <w:bookmarkStart w:id="535" w:name="_Toc457467926"/>
      <w:bookmarkStart w:id="536" w:name="_Toc457482935"/>
      <w:bookmarkStart w:id="537" w:name="_Toc457483327"/>
      <w:bookmarkStart w:id="538" w:name="_Toc457506244"/>
      <w:bookmarkStart w:id="539" w:name="_Toc457512271"/>
      <w:bookmarkStart w:id="540" w:name="_Toc457398904"/>
      <w:bookmarkStart w:id="541" w:name="_Toc457458637"/>
      <w:bookmarkStart w:id="542" w:name="_Toc457467927"/>
      <w:bookmarkStart w:id="543" w:name="_Toc457482936"/>
      <w:bookmarkStart w:id="544" w:name="_Toc457483328"/>
      <w:bookmarkStart w:id="545" w:name="_Toc457506245"/>
      <w:bookmarkStart w:id="546" w:name="_Toc457512272"/>
      <w:bookmarkStart w:id="547" w:name="_Toc457398905"/>
      <w:bookmarkStart w:id="548" w:name="_Toc457458638"/>
      <w:bookmarkStart w:id="549" w:name="_Toc457467928"/>
      <w:bookmarkStart w:id="550" w:name="_Toc457482937"/>
      <w:bookmarkStart w:id="551" w:name="_Toc457483329"/>
      <w:bookmarkStart w:id="552" w:name="_Toc457506246"/>
      <w:bookmarkStart w:id="553" w:name="_Toc457512273"/>
      <w:bookmarkStart w:id="554" w:name="_Toc460257497"/>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lastRenderedPageBreak/>
        <w:t xml:space="preserve">Ageing in </w:t>
      </w:r>
      <w:r w:rsidRPr="00083AA4">
        <w:t>place</w:t>
      </w:r>
      <w:bookmarkEnd w:id="554"/>
    </w:p>
    <w:p w14:paraId="363466BB" w14:textId="41855492" w:rsidR="0096070A" w:rsidRDefault="0096070A" w:rsidP="0096070A">
      <w:r>
        <w:t>‘Agei</w:t>
      </w:r>
      <w:r w:rsidR="001F3BC9">
        <w:t xml:space="preserve">ng in place’ can be defined as </w:t>
      </w:r>
      <w:r>
        <w:t>the ability to live in one’s own home and community safely, independently, and comfortably, regardless of age, income, or ability level.</w:t>
      </w:r>
      <w:r>
        <w:rPr>
          <w:rStyle w:val="FootnoteReference"/>
        </w:rPr>
        <w:footnoteReference w:id="23"/>
      </w:r>
      <w:r>
        <w:t xml:space="preserve"> </w:t>
      </w:r>
      <w:r w:rsidRPr="00262DCA">
        <w:t xml:space="preserve">Australian Productivity Commission research into </w:t>
      </w:r>
      <w:r>
        <w:t xml:space="preserve">the </w:t>
      </w:r>
      <w:r w:rsidRPr="00262DCA">
        <w:t xml:space="preserve">housing decisions </w:t>
      </w:r>
      <w:r>
        <w:t>of</w:t>
      </w:r>
      <w:r w:rsidRPr="00262DCA">
        <w:t xml:space="preserve"> older Australians found that most older people prefer to age in place</w:t>
      </w:r>
      <w:r>
        <w:t>, in their family home or other housing within their local community</w:t>
      </w:r>
      <w:r w:rsidRPr="00262DCA">
        <w:t>.</w:t>
      </w:r>
      <w:r>
        <w:rPr>
          <w:rStyle w:val="FootnoteReference"/>
        </w:rPr>
        <w:footnoteReference w:id="24"/>
      </w:r>
      <w:r>
        <w:t xml:space="preserve">   </w:t>
      </w:r>
    </w:p>
    <w:p w14:paraId="62955657" w14:textId="295098B4" w:rsidR="0096070A" w:rsidRDefault="0096070A" w:rsidP="0096070A">
      <w:r>
        <w:t>The Taskforce’s consultation with the community reinforced the view that most older Queenslanders wish to age in place within a multigenerational community. When older people move home, they do so for a variety of reasons including ‘pull’ factors, such as being closer to family, friends or lifestyle choices, or ‘push’ factors, such as declining health or financial reasons.</w:t>
      </w:r>
      <w:r>
        <w:rPr>
          <w:rStyle w:val="FootnoteReference"/>
        </w:rPr>
        <w:footnoteReference w:id="25"/>
      </w:r>
      <w:r>
        <w:t xml:space="preserve">  </w:t>
      </w:r>
    </w:p>
    <w:p w14:paraId="495B3D76" w14:textId="03388DAF" w:rsidR="000D18B4" w:rsidRPr="00083AA4" w:rsidRDefault="00F80841" w:rsidP="000D18B4">
      <w:pPr>
        <w:pStyle w:val="Heading2"/>
      </w:pPr>
      <w:bookmarkStart w:id="555" w:name="_Toc460257498"/>
      <w:r>
        <w:t>H</w:t>
      </w:r>
      <w:r w:rsidR="000D18B4" w:rsidRPr="00083AA4">
        <w:t xml:space="preserve">ousing </w:t>
      </w:r>
      <w:r>
        <w:t>features important to</w:t>
      </w:r>
      <w:r w:rsidR="000D18B4" w:rsidRPr="00083AA4">
        <w:t xml:space="preserve"> older Queenslanders</w:t>
      </w:r>
      <w:bookmarkEnd w:id="555"/>
    </w:p>
    <w:p w14:paraId="4C51B54D" w14:textId="597F7FF3" w:rsidR="000D18B4" w:rsidRPr="00D52A71" w:rsidRDefault="000D18B4" w:rsidP="000D18B4">
      <w:r>
        <w:t>R</w:t>
      </w:r>
      <w:r w:rsidRPr="00D52A71">
        <w:t xml:space="preserve">esearch conducted into the </w:t>
      </w:r>
      <w:r>
        <w:t xml:space="preserve">housing </w:t>
      </w:r>
      <w:r w:rsidRPr="00D52A71">
        <w:t xml:space="preserve">design preferences of </w:t>
      </w:r>
      <w:r>
        <w:t>older people</w:t>
      </w:r>
      <w:r w:rsidRPr="00D52A71">
        <w:t xml:space="preserve"> </w:t>
      </w:r>
      <w:r>
        <w:t>in</w:t>
      </w:r>
      <w:r w:rsidRPr="00D52A71">
        <w:t xml:space="preserve"> South East Queensland </w:t>
      </w:r>
      <w:r w:rsidR="00F80841">
        <w:t xml:space="preserve">identified </w:t>
      </w:r>
      <w:r w:rsidRPr="00D52A71">
        <w:t xml:space="preserve">the </w:t>
      </w:r>
      <w:r>
        <w:t xml:space="preserve">housing </w:t>
      </w:r>
      <w:r w:rsidRPr="00D52A71">
        <w:t xml:space="preserve">features </w:t>
      </w:r>
      <w:r w:rsidR="00F80841">
        <w:t>considered most important</w:t>
      </w:r>
      <w:r w:rsidRPr="00D52A71">
        <w:t>:</w:t>
      </w:r>
      <w:r w:rsidRPr="00D52A71">
        <w:rPr>
          <w:vertAlign w:val="superscript"/>
        </w:rPr>
        <w:footnoteReference w:id="26"/>
      </w:r>
    </w:p>
    <w:p w14:paraId="75A53837" w14:textId="4433F0D4" w:rsidR="000D18B4" w:rsidRPr="00D52A71" w:rsidRDefault="00F80841" w:rsidP="000D18B4">
      <w:pPr>
        <w:numPr>
          <w:ilvl w:val="0"/>
          <w:numId w:val="2"/>
        </w:numPr>
        <w:contextualSpacing/>
      </w:pPr>
      <w:r>
        <w:t>design a</w:t>
      </w:r>
      <w:r w:rsidR="000D18B4" w:rsidRPr="00D52A71">
        <w:t>spects relating to universal accessib</w:t>
      </w:r>
      <w:r>
        <w:t>ility</w:t>
      </w:r>
      <w:r w:rsidR="000D18B4" w:rsidRPr="00D52A71">
        <w:t xml:space="preserve"> (by far the most important)</w:t>
      </w:r>
    </w:p>
    <w:p w14:paraId="5E6A8FBD" w14:textId="0CC91083" w:rsidR="000D18B4" w:rsidRPr="00D52A71" w:rsidRDefault="00F80841" w:rsidP="000D18B4">
      <w:pPr>
        <w:numPr>
          <w:ilvl w:val="0"/>
          <w:numId w:val="2"/>
        </w:numPr>
        <w:contextualSpacing/>
      </w:pPr>
      <w:r>
        <w:t>w</w:t>
      </w:r>
      <w:r w:rsidR="000D18B4" w:rsidRPr="00D52A71">
        <w:t>ell maintained and safe walkways</w:t>
      </w:r>
      <w:r>
        <w:t xml:space="preserve"> and</w:t>
      </w:r>
      <w:r w:rsidR="000D18B4" w:rsidRPr="00D52A71">
        <w:t xml:space="preserve"> outdoor environment including outdoor private space</w:t>
      </w:r>
    </w:p>
    <w:p w14:paraId="391925F2" w14:textId="188B3182" w:rsidR="000D18B4" w:rsidRPr="00D52A71" w:rsidRDefault="00F80841" w:rsidP="000D18B4">
      <w:pPr>
        <w:numPr>
          <w:ilvl w:val="0"/>
          <w:numId w:val="2"/>
        </w:numPr>
        <w:contextualSpacing/>
      </w:pPr>
      <w:r>
        <w:t>e</w:t>
      </w:r>
      <w:r w:rsidR="000D18B4" w:rsidRPr="00D52A71">
        <w:t>nvironmental features</w:t>
      </w:r>
    </w:p>
    <w:p w14:paraId="14D1780E" w14:textId="2EF6F962" w:rsidR="000D18B4" w:rsidRPr="00D52A71" w:rsidRDefault="00F80841" w:rsidP="000D18B4">
      <w:pPr>
        <w:numPr>
          <w:ilvl w:val="0"/>
          <w:numId w:val="2"/>
        </w:numPr>
        <w:contextualSpacing/>
      </w:pPr>
      <w:r>
        <w:t>d</w:t>
      </w:r>
      <w:r w:rsidR="000D18B4" w:rsidRPr="00D52A71">
        <w:t>iversity of options</w:t>
      </w:r>
    </w:p>
    <w:p w14:paraId="42F75AF9" w14:textId="53C9DE12" w:rsidR="000D18B4" w:rsidRPr="00D52A71" w:rsidRDefault="00F80841" w:rsidP="000D18B4">
      <w:pPr>
        <w:numPr>
          <w:ilvl w:val="0"/>
          <w:numId w:val="2"/>
        </w:numPr>
        <w:contextualSpacing/>
      </w:pPr>
      <w:r>
        <w:t>p</w:t>
      </w:r>
      <w:r w:rsidR="000D18B4" w:rsidRPr="00D52A71">
        <w:t xml:space="preserve">laces to meet </w:t>
      </w:r>
    </w:p>
    <w:p w14:paraId="2669CA8A" w14:textId="02593E98" w:rsidR="000D18B4" w:rsidRDefault="00F80841" w:rsidP="000D18B4">
      <w:pPr>
        <w:numPr>
          <w:ilvl w:val="0"/>
          <w:numId w:val="2"/>
        </w:numPr>
        <w:contextualSpacing/>
      </w:pPr>
      <w:r>
        <w:t>a</w:t>
      </w:r>
      <w:r w:rsidR="000D18B4" w:rsidRPr="00D52A71">
        <w:t>ccess to services</w:t>
      </w:r>
      <w:r>
        <w:t>.</w:t>
      </w:r>
    </w:p>
    <w:p w14:paraId="438BDFEE" w14:textId="77777777" w:rsidR="000D18B4" w:rsidRPr="00D52A71" w:rsidRDefault="000D18B4" w:rsidP="000D18B4">
      <w:pPr>
        <w:contextualSpacing/>
      </w:pPr>
    </w:p>
    <w:p w14:paraId="681A9875" w14:textId="4326D8C0" w:rsidR="000D18B4" w:rsidRPr="00D52A71" w:rsidRDefault="000D18B4" w:rsidP="000D18B4">
      <w:r w:rsidRPr="00981987">
        <w:t xml:space="preserve">A common </w:t>
      </w:r>
      <w:r w:rsidR="00F80841">
        <w:t>as</w:t>
      </w:r>
      <w:r w:rsidRPr="00981987">
        <w:t>sumption is that older people liv</w:t>
      </w:r>
      <w:r w:rsidR="00F80841">
        <w:t>e</w:t>
      </w:r>
      <w:r w:rsidRPr="00981987">
        <w:t xml:space="preserve"> in houses that are too big for them. However</w:t>
      </w:r>
      <w:r>
        <w:t>,</w:t>
      </w:r>
      <w:r w:rsidRPr="00981987">
        <w:t xml:space="preserve"> studies show that </w:t>
      </w:r>
      <w:r w:rsidR="00F80841">
        <w:t>the</w:t>
      </w:r>
      <w:r w:rsidRPr="00981987">
        <w:t xml:space="preserve"> number of bedrooms in a house </w:t>
      </w:r>
      <w:r w:rsidR="00F80841">
        <w:t>is</w:t>
      </w:r>
      <w:r w:rsidR="00F80841" w:rsidRPr="00981987">
        <w:t xml:space="preserve"> </w:t>
      </w:r>
      <w:r>
        <w:t xml:space="preserve">of </w:t>
      </w:r>
      <w:r w:rsidRPr="00981987">
        <w:t>less concern for older people than its design or layout.</w:t>
      </w:r>
      <w:r w:rsidRPr="00981987">
        <w:rPr>
          <w:vertAlign w:val="superscript"/>
        </w:rPr>
        <w:footnoteReference w:id="27"/>
      </w:r>
      <w:r>
        <w:t xml:space="preserve"> In instances where </w:t>
      </w:r>
      <w:r w:rsidR="001C475E">
        <w:t xml:space="preserve">older </w:t>
      </w:r>
      <w:r>
        <w:t>people decide to downsize from their family home, research shows the important factors are</w:t>
      </w:r>
      <w:r w:rsidRPr="00D52A71">
        <w:t>:</w:t>
      </w:r>
      <w:r w:rsidRPr="00D52A71">
        <w:rPr>
          <w:vertAlign w:val="superscript"/>
        </w:rPr>
        <w:t xml:space="preserve"> </w:t>
      </w:r>
      <w:r w:rsidRPr="00D52A71">
        <w:rPr>
          <w:vertAlign w:val="superscript"/>
        </w:rPr>
        <w:footnoteReference w:id="28"/>
      </w:r>
      <w:r>
        <w:rPr>
          <w:vertAlign w:val="superscript"/>
        </w:rPr>
        <w:t xml:space="preserve"> </w:t>
      </w:r>
      <w:r w:rsidRPr="00D52A71">
        <w:t xml:space="preserve"> </w:t>
      </w:r>
      <w:r w:rsidRPr="00D52A71">
        <w:rPr>
          <w:vertAlign w:val="superscript"/>
        </w:rPr>
        <w:footnoteReference w:id="29"/>
      </w:r>
    </w:p>
    <w:p w14:paraId="5F57A907" w14:textId="445626F3" w:rsidR="000D18B4" w:rsidRDefault="001C475E" w:rsidP="000D18B4">
      <w:pPr>
        <w:numPr>
          <w:ilvl w:val="0"/>
          <w:numId w:val="3"/>
        </w:numPr>
        <w:contextualSpacing/>
      </w:pPr>
      <w:r>
        <w:t>b</w:t>
      </w:r>
      <w:r w:rsidR="000D18B4">
        <w:t>eing close to frie</w:t>
      </w:r>
      <w:r w:rsidR="000D18B4" w:rsidRPr="00D52A71">
        <w:t>nds, shops, public transport and services</w:t>
      </w:r>
    </w:p>
    <w:p w14:paraId="40FC5A4B" w14:textId="38211304" w:rsidR="000D18B4" w:rsidRDefault="001C475E" w:rsidP="000D18B4">
      <w:pPr>
        <w:numPr>
          <w:ilvl w:val="0"/>
          <w:numId w:val="3"/>
        </w:numPr>
        <w:contextualSpacing/>
      </w:pPr>
      <w:r>
        <w:t>h</w:t>
      </w:r>
      <w:r w:rsidR="000D18B4">
        <w:t>aving the option to remain in a familiar area</w:t>
      </w:r>
    </w:p>
    <w:p w14:paraId="2C20C68A" w14:textId="67E35904" w:rsidR="000D18B4" w:rsidRPr="00D52A71" w:rsidRDefault="001C475E" w:rsidP="000D18B4">
      <w:pPr>
        <w:numPr>
          <w:ilvl w:val="0"/>
          <w:numId w:val="3"/>
        </w:numPr>
        <w:contextualSpacing/>
      </w:pPr>
      <w:r>
        <w:t>s</w:t>
      </w:r>
      <w:r w:rsidR="000D18B4" w:rsidRPr="00D52A71">
        <w:t>ize, accessibility and newness of dwelling</w:t>
      </w:r>
    </w:p>
    <w:p w14:paraId="006D6711" w14:textId="17DAE31F" w:rsidR="000D18B4" w:rsidRPr="00D52A71" w:rsidRDefault="001C475E" w:rsidP="000D18B4">
      <w:pPr>
        <w:numPr>
          <w:ilvl w:val="0"/>
          <w:numId w:val="3"/>
        </w:numPr>
        <w:contextualSpacing/>
      </w:pPr>
      <w:r>
        <w:t>l</w:t>
      </w:r>
      <w:r w:rsidR="000D18B4" w:rsidRPr="00D52A71">
        <w:t>ow home and garden maintenance requirements</w:t>
      </w:r>
    </w:p>
    <w:p w14:paraId="00179CDE" w14:textId="4347C89F" w:rsidR="000D18B4" w:rsidRPr="00D52A71" w:rsidRDefault="001C475E" w:rsidP="000D18B4">
      <w:pPr>
        <w:numPr>
          <w:ilvl w:val="0"/>
          <w:numId w:val="3"/>
        </w:numPr>
        <w:contextualSpacing/>
      </w:pPr>
      <w:r>
        <w:t>h</w:t>
      </w:r>
      <w:r w:rsidR="000D18B4" w:rsidRPr="00D52A71">
        <w:t>ousing that enables them to remain independent and feel part of a multi-generational environment</w:t>
      </w:r>
    </w:p>
    <w:p w14:paraId="24E9B224" w14:textId="33E8439E" w:rsidR="000D18B4" w:rsidRPr="00D52A71" w:rsidRDefault="001C475E" w:rsidP="000D18B4">
      <w:pPr>
        <w:numPr>
          <w:ilvl w:val="0"/>
          <w:numId w:val="3"/>
        </w:numPr>
        <w:contextualSpacing/>
      </w:pPr>
      <w:r>
        <w:t>c</w:t>
      </w:r>
      <w:r w:rsidR="000D18B4" w:rsidRPr="00D52A71">
        <w:t>apacity to keep a pet</w:t>
      </w:r>
    </w:p>
    <w:p w14:paraId="3463C49D" w14:textId="7076E5A7" w:rsidR="000D18B4" w:rsidRPr="00D52A71" w:rsidRDefault="001C475E" w:rsidP="000D18B4">
      <w:pPr>
        <w:numPr>
          <w:ilvl w:val="0"/>
          <w:numId w:val="3"/>
        </w:numPr>
        <w:contextualSpacing/>
      </w:pPr>
      <w:r>
        <w:t>c</w:t>
      </w:r>
      <w:r w:rsidR="000D18B4" w:rsidRPr="00D52A71">
        <w:t>apacity to transition to higher levels of care when they require it</w:t>
      </w:r>
      <w:r>
        <w:t>.</w:t>
      </w:r>
    </w:p>
    <w:p w14:paraId="727A8ADE" w14:textId="77777777" w:rsidR="000D18B4" w:rsidRDefault="000D18B4" w:rsidP="000D18B4">
      <w:r>
        <w:br w:type="page"/>
      </w:r>
    </w:p>
    <w:p w14:paraId="622E684F" w14:textId="34EC1EBD" w:rsidR="000D18B4" w:rsidRPr="001B0F30" w:rsidRDefault="0086453F" w:rsidP="000D18B4">
      <w:pPr>
        <w:pStyle w:val="Heading1"/>
      </w:pPr>
      <w:bookmarkStart w:id="556" w:name="_Toc460257499"/>
      <w:r>
        <w:lastRenderedPageBreak/>
        <w:t>FINDINGS – INDIVIDUAL RESILIENCE</w:t>
      </w:r>
      <w:bookmarkEnd w:id="556"/>
    </w:p>
    <w:p w14:paraId="29649876" w14:textId="6D5872DC" w:rsidR="000D18B4" w:rsidRPr="006B60A3" w:rsidRDefault="000D18B4" w:rsidP="000D18B4">
      <w:pPr>
        <w:spacing w:after="0" w:line="240" w:lineRule="auto"/>
        <w:rPr>
          <w:rFonts w:eastAsia="Times New Roman" w:cs="Times New Roman"/>
          <w:color w:val="4F81BD" w:themeColor="accent1"/>
        </w:rPr>
      </w:pPr>
      <w:r w:rsidRPr="006B60A3">
        <w:rPr>
          <w:rFonts w:eastAsia="Times New Roman" w:cs="Times New Roman"/>
          <w:color w:val="4F81BD" w:themeColor="accent1"/>
        </w:rPr>
        <w:t xml:space="preserve">Individual </w:t>
      </w:r>
      <w:r w:rsidR="005C71ED">
        <w:rPr>
          <w:rFonts w:eastAsia="Times New Roman" w:cs="Times New Roman"/>
          <w:color w:val="4F81BD" w:themeColor="accent1"/>
        </w:rPr>
        <w:t>r</w:t>
      </w:r>
      <w:r w:rsidRPr="006B60A3">
        <w:rPr>
          <w:rFonts w:eastAsia="Times New Roman" w:cs="Times New Roman"/>
          <w:color w:val="4F81BD" w:themeColor="accent1"/>
        </w:rPr>
        <w:t xml:space="preserve">esilience refers to personal factors that impact on an individual’s capacity to </w:t>
      </w:r>
      <w:r>
        <w:rPr>
          <w:rFonts w:eastAsia="Times New Roman" w:cs="Times New Roman"/>
          <w:color w:val="4F81BD" w:themeColor="accent1"/>
        </w:rPr>
        <w:t>secure or maintain</w:t>
      </w:r>
      <w:r w:rsidRPr="006B60A3">
        <w:rPr>
          <w:rFonts w:eastAsia="Times New Roman" w:cs="Times New Roman"/>
          <w:color w:val="4F81BD" w:themeColor="accent1"/>
        </w:rPr>
        <w:t xml:space="preserve"> a </w:t>
      </w:r>
      <w:r>
        <w:rPr>
          <w:rFonts w:eastAsia="Times New Roman" w:cs="Times New Roman"/>
          <w:color w:val="4F81BD" w:themeColor="accent1"/>
        </w:rPr>
        <w:t>supportive</w:t>
      </w:r>
      <w:r w:rsidRPr="006B60A3">
        <w:rPr>
          <w:rFonts w:eastAsia="Times New Roman" w:cs="Times New Roman"/>
          <w:color w:val="4F81BD" w:themeColor="accent1"/>
        </w:rPr>
        <w:t xml:space="preserve"> living situation. These factors include health, financial capacity, personal adaptability, cultural considerations, </w:t>
      </w:r>
      <w:r>
        <w:rPr>
          <w:rFonts w:eastAsia="Times New Roman" w:cs="Times New Roman"/>
          <w:color w:val="4F81BD" w:themeColor="accent1"/>
        </w:rPr>
        <w:t>attachment to</w:t>
      </w:r>
      <w:r w:rsidRPr="006B60A3">
        <w:rPr>
          <w:rFonts w:eastAsia="Times New Roman" w:cs="Times New Roman"/>
          <w:color w:val="4F81BD" w:themeColor="accent1"/>
        </w:rPr>
        <w:t xml:space="preserve"> their house and/or community, and their involvement in the local community.</w:t>
      </w:r>
    </w:p>
    <w:p w14:paraId="1339A0B7" w14:textId="77777777" w:rsidR="000D18B4" w:rsidRDefault="000D18B4" w:rsidP="000D18B4">
      <w:pPr>
        <w:spacing w:after="0" w:line="240" w:lineRule="auto"/>
        <w:rPr>
          <w:rFonts w:eastAsia="Times New Roman" w:cs="Times New Roman"/>
          <w:color w:val="4F81BD" w:themeColor="accent1"/>
        </w:rPr>
      </w:pPr>
    </w:p>
    <w:p w14:paraId="24D748A6" w14:textId="77777777" w:rsidR="000D18B4" w:rsidRPr="0005526D" w:rsidRDefault="000D18B4" w:rsidP="000D18B4">
      <w:pPr>
        <w:spacing w:line="240" w:lineRule="auto"/>
        <w:rPr>
          <w:rFonts w:asciiTheme="majorHAnsi" w:eastAsiaTheme="majorEastAsia" w:hAnsiTheme="majorHAnsi" w:cs="Times New Roman"/>
          <w:color w:val="365F91" w:themeColor="accent1" w:themeShade="BF"/>
          <w:sz w:val="26"/>
          <w:szCs w:val="26"/>
        </w:rPr>
      </w:pPr>
      <w:r w:rsidRPr="0005526D">
        <w:rPr>
          <w:rFonts w:asciiTheme="majorHAnsi" w:eastAsiaTheme="majorEastAsia" w:hAnsiTheme="majorHAnsi" w:cs="Times New Roman"/>
          <w:color w:val="365F91" w:themeColor="accent1" w:themeShade="BF"/>
          <w:sz w:val="26"/>
          <w:szCs w:val="26"/>
        </w:rPr>
        <w:t>What success looks like</w:t>
      </w:r>
    </w:p>
    <w:p w14:paraId="720ADCAC" w14:textId="22CB8A23" w:rsidR="000D18B4" w:rsidRDefault="000D18B4" w:rsidP="000D18B4">
      <w:pPr>
        <w:shd w:val="clear" w:color="auto" w:fill="FFFFFF"/>
        <w:spacing w:after="100" w:afterAutospacing="1" w:line="240" w:lineRule="auto"/>
        <w:rPr>
          <w:rFonts w:eastAsia="Times New Roman" w:cs="Times New Roman"/>
        </w:rPr>
      </w:pPr>
      <w:r w:rsidRPr="001B0F30">
        <w:rPr>
          <w:rFonts w:eastAsiaTheme="minorEastAsia" w:cs="Times New Roman"/>
        </w:rPr>
        <w:t xml:space="preserve">Older Queenslanders have sufficient </w:t>
      </w:r>
      <w:r w:rsidR="005C71ED">
        <w:rPr>
          <w:rFonts w:eastAsiaTheme="minorEastAsia" w:cs="Times New Roman"/>
        </w:rPr>
        <w:t>financial capacity</w:t>
      </w:r>
      <w:r w:rsidR="005C71ED" w:rsidRPr="001B0F30">
        <w:rPr>
          <w:rFonts w:eastAsiaTheme="minorEastAsia" w:cs="Times New Roman"/>
        </w:rPr>
        <w:t xml:space="preserve"> </w:t>
      </w:r>
      <w:r w:rsidRPr="001B0F30">
        <w:rPr>
          <w:rFonts w:eastAsiaTheme="minorEastAsia" w:cs="Times New Roman"/>
        </w:rPr>
        <w:t xml:space="preserve">to meet their housing and related support needs over time while being able to maintain a reasonable standard of living. </w:t>
      </w:r>
      <w:r>
        <w:rPr>
          <w:rFonts w:eastAsia="Times New Roman" w:cs="Times New Roman"/>
        </w:rPr>
        <w:t>They</w:t>
      </w:r>
      <w:r w:rsidRPr="001B0F30">
        <w:rPr>
          <w:rFonts w:eastAsia="Times New Roman" w:cs="Times New Roman"/>
        </w:rPr>
        <w:t xml:space="preserve"> have opportunities to be actively involved in their communities, through employment, volunteering or other forms of participation. </w:t>
      </w:r>
      <w:r>
        <w:rPr>
          <w:rFonts w:eastAsia="Times New Roman" w:cs="Times New Roman"/>
        </w:rPr>
        <w:t>H</w:t>
      </w:r>
      <w:r w:rsidRPr="001B0F30">
        <w:rPr>
          <w:rFonts w:eastAsia="Times New Roman" w:cs="Times New Roman"/>
        </w:rPr>
        <w:t xml:space="preserve">ealth needs </w:t>
      </w:r>
      <w:r w:rsidR="005C71ED">
        <w:rPr>
          <w:rFonts w:eastAsia="Times New Roman" w:cs="Times New Roman"/>
        </w:rPr>
        <w:t xml:space="preserve">are </w:t>
      </w:r>
      <w:r w:rsidRPr="001B0F30">
        <w:rPr>
          <w:rFonts w:eastAsia="Times New Roman" w:cs="Times New Roman"/>
        </w:rPr>
        <w:t xml:space="preserve">met in a way that enables </w:t>
      </w:r>
      <w:r>
        <w:rPr>
          <w:rFonts w:eastAsia="Times New Roman" w:cs="Times New Roman"/>
        </w:rPr>
        <w:t>older people</w:t>
      </w:r>
      <w:r w:rsidRPr="001B0F30">
        <w:rPr>
          <w:rFonts w:eastAsia="Times New Roman" w:cs="Times New Roman"/>
        </w:rPr>
        <w:t xml:space="preserve"> to</w:t>
      </w:r>
      <w:r>
        <w:rPr>
          <w:rFonts w:eastAsia="Times New Roman" w:cs="Times New Roman"/>
        </w:rPr>
        <w:t xml:space="preserve"> </w:t>
      </w:r>
      <w:r w:rsidRPr="001B0F30">
        <w:rPr>
          <w:rFonts w:eastAsia="Times New Roman" w:cs="Times New Roman"/>
        </w:rPr>
        <w:t>age in place.</w:t>
      </w:r>
    </w:p>
    <w:p w14:paraId="25C0A08E" w14:textId="2778F918" w:rsidR="000D18B4" w:rsidRDefault="000D18B4" w:rsidP="000D18B4">
      <w:pPr>
        <w:shd w:val="clear" w:color="auto" w:fill="FFFFFF"/>
        <w:spacing w:after="100" w:afterAutospacing="1" w:line="240" w:lineRule="auto"/>
        <w:rPr>
          <w:rFonts w:eastAsia="Times New Roman" w:cs="Times New Roman"/>
        </w:rPr>
      </w:pPr>
      <w:r w:rsidRPr="001B0F30">
        <w:rPr>
          <w:rFonts w:eastAsiaTheme="minorEastAsia" w:cs="Times New Roman"/>
        </w:rPr>
        <w:t>Planning for</w:t>
      </w:r>
      <w:r w:rsidR="005C71ED">
        <w:rPr>
          <w:rFonts w:eastAsiaTheme="minorEastAsia" w:cs="Times New Roman"/>
        </w:rPr>
        <w:t>,</w:t>
      </w:r>
      <w:r w:rsidRPr="001B0F30">
        <w:rPr>
          <w:rFonts w:eastAsiaTheme="minorEastAsia" w:cs="Times New Roman"/>
        </w:rPr>
        <w:t xml:space="preserve"> and thinking about</w:t>
      </w:r>
      <w:r w:rsidR="005C71ED">
        <w:rPr>
          <w:rFonts w:eastAsiaTheme="minorEastAsia" w:cs="Times New Roman"/>
        </w:rPr>
        <w:t>,</w:t>
      </w:r>
      <w:r w:rsidRPr="001B0F30">
        <w:rPr>
          <w:rFonts w:eastAsiaTheme="minorEastAsia" w:cs="Times New Roman"/>
        </w:rPr>
        <w:t xml:space="preserve"> retirement, housing and finance </w:t>
      </w:r>
      <w:r w:rsidR="00467E94">
        <w:rPr>
          <w:rFonts w:eastAsiaTheme="minorEastAsia" w:cs="Times New Roman"/>
        </w:rPr>
        <w:t xml:space="preserve">are </w:t>
      </w:r>
      <w:r w:rsidRPr="001B0F30">
        <w:rPr>
          <w:rFonts w:eastAsiaTheme="minorEastAsia" w:cs="Times New Roman"/>
        </w:rPr>
        <w:t xml:space="preserve">regular </w:t>
      </w:r>
      <w:r w:rsidR="005C71ED">
        <w:rPr>
          <w:rFonts w:eastAsiaTheme="minorEastAsia" w:cs="Times New Roman"/>
        </w:rPr>
        <w:t>activit</w:t>
      </w:r>
      <w:r w:rsidR="00467E94">
        <w:rPr>
          <w:rFonts w:eastAsiaTheme="minorEastAsia" w:cs="Times New Roman"/>
        </w:rPr>
        <w:t>ies</w:t>
      </w:r>
      <w:r w:rsidR="005C71ED">
        <w:rPr>
          <w:rFonts w:eastAsiaTheme="minorEastAsia" w:cs="Times New Roman"/>
        </w:rPr>
        <w:t xml:space="preserve"> for </w:t>
      </w:r>
      <w:r w:rsidRPr="001B0F30">
        <w:rPr>
          <w:rFonts w:eastAsiaTheme="minorEastAsia" w:cs="Times New Roman"/>
        </w:rPr>
        <w:t>individual</w:t>
      </w:r>
      <w:r w:rsidR="005C71ED">
        <w:rPr>
          <w:rFonts w:eastAsiaTheme="minorEastAsia" w:cs="Times New Roman"/>
        </w:rPr>
        <w:t>s</w:t>
      </w:r>
      <w:r w:rsidRPr="001B0F30">
        <w:rPr>
          <w:rFonts w:eastAsiaTheme="minorEastAsia" w:cs="Times New Roman"/>
        </w:rPr>
        <w:t xml:space="preserve"> and</w:t>
      </w:r>
      <w:r w:rsidR="005C71ED">
        <w:rPr>
          <w:rFonts w:eastAsiaTheme="minorEastAsia" w:cs="Times New Roman"/>
        </w:rPr>
        <w:t xml:space="preserve"> families</w:t>
      </w:r>
      <w:r w:rsidRPr="001B0F30">
        <w:rPr>
          <w:rFonts w:eastAsiaTheme="minorEastAsia" w:cs="Times New Roman"/>
        </w:rPr>
        <w:t>. Information about housing and service options is easily accessible</w:t>
      </w:r>
      <w:r w:rsidR="005C71ED">
        <w:rPr>
          <w:rFonts w:eastAsiaTheme="minorEastAsia" w:cs="Times New Roman"/>
        </w:rPr>
        <w:t>,</w:t>
      </w:r>
      <w:r w:rsidRPr="001B0F30">
        <w:rPr>
          <w:rFonts w:eastAsiaTheme="minorEastAsia" w:cs="Times New Roman"/>
        </w:rPr>
        <w:t xml:space="preserve"> which assist</w:t>
      </w:r>
      <w:r w:rsidR="005C71ED">
        <w:rPr>
          <w:rFonts w:eastAsiaTheme="minorEastAsia" w:cs="Times New Roman"/>
        </w:rPr>
        <w:t>s</w:t>
      </w:r>
      <w:r w:rsidRPr="001B0F30">
        <w:rPr>
          <w:rFonts w:eastAsiaTheme="minorEastAsia" w:cs="Times New Roman"/>
        </w:rPr>
        <w:t xml:space="preserve"> in planning and decision</w:t>
      </w:r>
      <w:r w:rsidR="005C71ED">
        <w:rPr>
          <w:rFonts w:eastAsiaTheme="minorEastAsia" w:cs="Times New Roman"/>
        </w:rPr>
        <w:t>-</w:t>
      </w:r>
      <w:r w:rsidRPr="001B0F30">
        <w:rPr>
          <w:rFonts w:eastAsiaTheme="minorEastAsia" w:cs="Times New Roman"/>
        </w:rPr>
        <w:t xml:space="preserve">making for future needs. A range of housing and service options that are desired by older people are available within the community. When reaching older age, </w:t>
      </w:r>
      <w:r w:rsidR="005C71ED">
        <w:rPr>
          <w:rFonts w:eastAsiaTheme="minorEastAsia" w:cs="Times New Roman"/>
        </w:rPr>
        <w:t xml:space="preserve">individuals have considered </w:t>
      </w:r>
      <w:r w:rsidRPr="001B0F30">
        <w:rPr>
          <w:rFonts w:eastAsiaTheme="minorEastAsia" w:cs="Times New Roman"/>
        </w:rPr>
        <w:t xml:space="preserve">accommodation options and </w:t>
      </w:r>
      <w:r w:rsidR="005C71ED">
        <w:rPr>
          <w:rFonts w:eastAsiaTheme="minorEastAsia" w:cs="Times New Roman"/>
        </w:rPr>
        <w:t xml:space="preserve">have </w:t>
      </w:r>
      <w:r w:rsidRPr="001B0F30">
        <w:rPr>
          <w:rFonts w:eastAsiaTheme="minorEastAsia" w:cs="Times New Roman"/>
        </w:rPr>
        <w:t xml:space="preserve">plans in place.  </w:t>
      </w:r>
    </w:p>
    <w:p w14:paraId="69DC3AFB" w14:textId="3E35ABE7" w:rsidR="000D18B4" w:rsidRDefault="000D18B4" w:rsidP="000D18B4">
      <w:pPr>
        <w:pStyle w:val="Heading2"/>
        <w:rPr>
          <w:rFonts w:eastAsia="Times New Roman"/>
        </w:rPr>
      </w:pPr>
      <w:bookmarkStart w:id="557" w:name="_Toc460257500"/>
      <w:r>
        <w:rPr>
          <w:rFonts w:eastAsia="Times New Roman"/>
        </w:rPr>
        <w:t>Informed and confident decision-making</w:t>
      </w:r>
      <w:bookmarkEnd w:id="557"/>
    </w:p>
    <w:tbl>
      <w:tblPr>
        <w:tblStyle w:val="TableGrid"/>
        <w:tblW w:w="0" w:type="auto"/>
        <w:tblLook w:val="04A0" w:firstRow="1" w:lastRow="0" w:firstColumn="1" w:lastColumn="0" w:noHBand="0" w:noVBand="1"/>
      </w:tblPr>
      <w:tblGrid>
        <w:gridCol w:w="9322"/>
      </w:tblGrid>
      <w:tr w:rsidR="000D18B4" w14:paraId="7C06B770" w14:textId="77777777" w:rsidTr="00BA3344">
        <w:tc>
          <w:tcPr>
            <w:tcW w:w="9548" w:type="dxa"/>
          </w:tcPr>
          <w:p w14:paraId="40CF8F64" w14:textId="77777777" w:rsidR="000D18B4" w:rsidRPr="001B1330" w:rsidRDefault="000D18B4" w:rsidP="00BA3344">
            <w:pPr>
              <w:pStyle w:val="Boxheading"/>
            </w:pPr>
            <w:r>
              <w:t xml:space="preserve">Issues </w:t>
            </w:r>
          </w:p>
          <w:p w14:paraId="75BCD1DB" w14:textId="21222466" w:rsidR="000D18B4" w:rsidRPr="00995C89" w:rsidRDefault="000D18B4" w:rsidP="0005526D">
            <w:pPr>
              <w:pStyle w:val="ListParagraph"/>
              <w:numPr>
                <w:ilvl w:val="0"/>
                <w:numId w:val="7"/>
              </w:numPr>
              <w:spacing w:after="0" w:line="240" w:lineRule="auto"/>
            </w:pPr>
            <w:r>
              <w:t>Most</w:t>
            </w:r>
            <w:r w:rsidR="00A14616">
              <w:t xml:space="preserve"> </w:t>
            </w:r>
            <w:r>
              <w:t>older people desire and plan to stay in their own home or community. There are challenges that may arise in later life</w:t>
            </w:r>
            <w:r w:rsidR="00DD659E">
              <w:t>,</w:t>
            </w:r>
            <w:r>
              <w:t xml:space="preserve"> which can impact housing needs.  </w:t>
            </w:r>
          </w:p>
          <w:p w14:paraId="67CBB94A" w14:textId="2445CE05" w:rsidR="000D18B4" w:rsidRDefault="000D18B4" w:rsidP="0005526D">
            <w:pPr>
              <w:pStyle w:val="ListParagraph"/>
              <w:numPr>
                <w:ilvl w:val="0"/>
                <w:numId w:val="7"/>
              </w:numPr>
              <w:spacing w:after="0" w:line="240" w:lineRule="auto"/>
            </w:pPr>
            <w:r>
              <w:t>Decision</w:t>
            </w:r>
            <w:r w:rsidR="00DD659E">
              <w:t>-</w:t>
            </w:r>
            <w:r>
              <w:t xml:space="preserve">making is complex with many options and sources of information. </w:t>
            </w:r>
            <w:r w:rsidR="00DD659E">
              <w:t xml:space="preserve">It </w:t>
            </w:r>
            <w:r>
              <w:t>is difficult to plan for unknown future pathways</w:t>
            </w:r>
            <w:r w:rsidR="00DD659E">
              <w:t>.</w:t>
            </w:r>
          </w:p>
          <w:p w14:paraId="0D903A1B" w14:textId="108E42F6" w:rsidR="000D18B4" w:rsidRDefault="000D18B4" w:rsidP="0005526D">
            <w:pPr>
              <w:pStyle w:val="ListParagraph"/>
              <w:numPr>
                <w:ilvl w:val="0"/>
                <w:numId w:val="7"/>
              </w:numPr>
              <w:spacing w:after="0" w:line="240" w:lineRule="auto"/>
            </w:pPr>
            <w:r>
              <w:t xml:space="preserve">Family members can influence (positively </w:t>
            </w:r>
            <w:r w:rsidR="00DD659E">
              <w:t xml:space="preserve">and </w:t>
            </w:r>
            <w:r>
              <w:t>negatively) the housing decisions of older people</w:t>
            </w:r>
            <w:r w:rsidR="00DD659E">
              <w:t>. F</w:t>
            </w:r>
            <w:r>
              <w:t>or example</w:t>
            </w:r>
            <w:r w:rsidR="00DD659E">
              <w:t>,</w:t>
            </w:r>
            <w:r>
              <w:t xml:space="preserve"> some families </w:t>
            </w:r>
            <w:r w:rsidR="00DD659E">
              <w:t xml:space="preserve">may financially support their older family member and/or help them access alternative housing. However, others </w:t>
            </w:r>
            <w:r>
              <w:t>may discourage an older person from accessing the equity in their own home</w:t>
            </w:r>
            <w:r w:rsidR="00DD659E">
              <w:t>.</w:t>
            </w:r>
          </w:p>
          <w:p w14:paraId="7111D8B3" w14:textId="3CAB9CC0" w:rsidR="000D18B4" w:rsidRDefault="000D18B4" w:rsidP="0005526D">
            <w:pPr>
              <w:pStyle w:val="ListParagraph"/>
              <w:numPr>
                <w:ilvl w:val="0"/>
                <w:numId w:val="7"/>
              </w:numPr>
              <w:spacing w:after="0" w:line="240" w:lineRule="auto"/>
            </w:pPr>
            <w:r>
              <w:t xml:space="preserve">Some older people </w:t>
            </w:r>
            <w:r w:rsidR="00DD659E">
              <w:t>are</w:t>
            </w:r>
            <w:r>
              <w:t xml:space="preserve"> fearful of financial exploitation</w:t>
            </w:r>
            <w:r w:rsidR="00DD659E">
              <w:t>.</w:t>
            </w:r>
          </w:p>
          <w:p w14:paraId="54B34263" w14:textId="77777777" w:rsidR="000D18B4" w:rsidRPr="00D16DAE" w:rsidRDefault="000D18B4" w:rsidP="00BA3344">
            <w:pPr>
              <w:pStyle w:val="ListParagraph"/>
              <w:spacing w:after="0" w:line="240" w:lineRule="auto"/>
              <w:rPr>
                <w:rFonts w:asciiTheme="majorHAnsi" w:eastAsiaTheme="majorEastAsia" w:hAnsiTheme="majorHAnsi" w:cstheme="majorBidi"/>
                <w:b/>
                <w:sz w:val="26"/>
                <w:szCs w:val="26"/>
              </w:rPr>
            </w:pPr>
          </w:p>
        </w:tc>
      </w:tr>
    </w:tbl>
    <w:p w14:paraId="28B83DF9" w14:textId="77777777" w:rsidR="000D18B4" w:rsidRDefault="000D18B4" w:rsidP="000D18B4"/>
    <w:p w14:paraId="6C028186" w14:textId="2E469248" w:rsidR="000D18B4" w:rsidRDefault="000D18B4" w:rsidP="000D18B4">
      <w:r>
        <w:t>Older people are not a homogenous group and reach older age with differing financial, family and living circumstances and arrangements, interests, preferences, needs and housing requirements.</w:t>
      </w:r>
      <w:r w:rsidR="00001964">
        <w:t xml:space="preserve"> </w:t>
      </w:r>
      <w:r>
        <w:t>Whilst some older people have adequate resources and income and/or have planned for retirement</w:t>
      </w:r>
      <w:r w:rsidR="00DD659E">
        <w:t>,</w:t>
      </w:r>
      <w:r>
        <w:t xml:space="preserve"> many have not planned and/or may have inadequate resources.</w:t>
      </w:r>
    </w:p>
    <w:p w14:paraId="372FEF09" w14:textId="53CD45C4" w:rsidR="000D18B4" w:rsidRDefault="000D18B4" w:rsidP="000D18B4">
      <w:r>
        <w:t>In later life, people may seek to transition to alternative housing but are overwhelmed by the number of options</w:t>
      </w:r>
      <w:r w:rsidR="00DD659E">
        <w:t xml:space="preserve"> and</w:t>
      </w:r>
      <w:r>
        <w:t xml:space="preserve"> the amount of information available</w:t>
      </w:r>
      <w:r w:rsidR="00DD659E">
        <w:t>. Or they may</w:t>
      </w:r>
      <w:r>
        <w:t xml:space="preserve"> simply find it too difficult. It is difficult to plan for an unknown future as no one knows exactly how long they will live or what their level of physical and mental capacity will be in the future.</w:t>
      </w:r>
    </w:p>
    <w:p w14:paraId="44F201C3" w14:textId="1674F6D6" w:rsidR="000D18B4" w:rsidRDefault="000D18B4" w:rsidP="000D18B4">
      <w:r>
        <w:t>The Taskforce heard from numerous sources that Queenslanders are not planning early enough for later life</w:t>
      </w:r>
      <w:r w:rsidR="00DD659E">
        <w:t>,</w:t>
      </w:r>
      <w:r>
        <w:t xml:space="preserve"> especially with regard to their housing needs as they age. Consequently, housing decisions are often made at a time of</w:t>
      </w:r>
      <w:r w:rsidRPr="00995C89">
        <w:t xml:space="preserve"> </w:t>
      </w:r>
      <w:r>
        <w:t xml:space="preserve">crisis and may result in </w:t>
      </w:r>
      <w:r w:rsidR="00DD659E">
        <w:t xml:space="preserve">decisions being made for, rather than by, </w:t>
      </w:r>
      <w:r>
        <w:t>individual</w:t>
      </w:r>
      <w:r w:rsidR="00DD659E">
        <w:t>s</w:t>
      </w:r>
      <w:r>
        <w:t xml:space="preserve">. Earlier decision-making about housing choices can </w:t>
      </w:r>
      <w:r w:rsidR="00DD659E">
        <w:t>avoid</w:t>
      </w:r>
      <w:r>
        <w:t xml:space="preserve"> a housing crisis.  </w:t>
      </w:r>
    </w:p>
    <w:p w14:paraId="133A7959" w14:textId="508F9676" w:rsidR="000D18B4" w:rsidRPr="002D2B2C" w:rsidRDefault="000D18B4" w:rsidP="000D18B4">
      <w:pPr>
        <w:pStyle w:val="Heading2"/>
      </w:pPr>
      <w:bookmarkStart w:id="558" w:name="_Toc460257501"/>
      <w:r w:rsidRPr="002D2B2C">
        <w:lastRenderedPageBreak/>
        <w:t xml:space="preserve">Community </w:t>
      </w:r>
      <w:r>
        <w:t>Participation</w:t>
      </w:r>
      <w:bookmarkEnd w:id="558"/>
      <w:r w:rsidRPr="002D2B2C">
        <w:t xml:space="preserve"> </w:t>
      </w:r>
    </w:p>
    <w:tbl>
      <w:tblPr>
        <w:tblStyle w:val="TableGrid"/>
        <w:tblW w:w="0" w:type="auto"/>
        <w:tblLook w:val="04A0" w:firstRow="1" w:lastRow="0" w:firstColumn="1" w:lastColumn="0" w:noHBand="0" w:noVBand="1"/>
      </w:tblPr>
      <w:tblGrid>
        <w:gridCol w:w="9322"/>
      </w:tblGrid>
      <w:tr w:rsidR="000D18B4" w14:paraId="2644D806" w14:textId="77777777" w:rsidTr="00BA3344">
        <w:tc>
          <w:tcPr>
            <w:tcW w:w="9548" w:type="dxa"/>
          </w:tcPr>
          <w:p w14:paraId="454E0733" w14:textId="77777777" w:rsidR="000D18B4" w:rsidRDefault="000D18B4" w:rsidP="00BA3344">
            <w:pPr>
              <w:pStyle w:val="Boxheading"/>
            </w:pPr>
            <w:r>
              <w:t xml:space="preserve">Issues </w:t>
            </w:r>
          </w:p>
          <w:p w14:paraId="5D770E63" w14:textId="23B6BC47" w:rsidR="000D18B4" w:rsidRDefault="0088254E" w:rsidP="0005526D">
            <w:pPr>
              <w:pStyle w:val="ListParagraph"/>
              <w:numPr>
                <w:ilvl w:val="0"/>
                <w:numId w:val="7"/>
              </w:numPr>
              <w:spacing w:after="0" w:line="240" w:lineRule="auto"/>
            </w:pPr>
            <w:r>
              <w:t>L</w:t>
            </w:r>
            <w:r w:rsidR="000D18B4">
              <w:t>ack of opportunit</w:t>
            </w:r>
            <w:r>
              <w:t>ies</w:t>
            </w:r>
            <w:r w:rsidR="000D18B4">
              <w:t xml:space="preserve"> to participate in community and family life can result in social isolation</w:t>
            </w:r>
            <w:r>
              <w:t>.</w:t>
            </w:r>
          </w:p>
          <w:p w14:paraId="3B6FC428" w14:textId="3647418A" w:rsidR="000D18B4" w:rsidRPr="00981987" w:rsidRDefault="000D18B4" w:rsidP="0005526D">
            <w:pPr>
              <w:pStyle w:val="ListParagraph"/>
              <w:keepNext/>
              <w:keepLines/>
              <w:numPr>
                <w:ilvl w:val="0"/>
                <w:numId w:val="7"/>
              </w:numPr>
              <w:spacing w:before="40" w:after="0" w:line="240" w:lineRule="auto"/>
              <w:outlineLvl w:val="1"/>
              <w:rPr>
                <w:rFonts w:asciiTheme="majorHAnsi" w:eastAsiaTheme="majorEastAsia" w:hAnsiTheme="majorHAnsi" w:cstheme="majorBidi"/>
                <w:b/>
                <w:sz w:val="26"/>
                <w:szCs w:val="26"/>
              </w:rPr>
            </w:pPr>
            <w:r>
              <w:t>The skills and expertise of older people are not always valued by employers and the community</w:t>
            </w:r>
            <w:r w:rsidR="0088254E">
              <w:t>.</w:t>
            </w:r>
          </w:p>
          <w:p w14:paraId="49C5045A" w14:textId="77777777" w:rsidR="000D18B4" w:rsidRDefault="000D18B4" w:rsidP="00BA3344">
            <w:pPr>
              <w:pStyle w:val="ListParagraph"/>
              <w:spacing w:after="0" w:line="240" w:lineRule="auto"/>
              <w:rPr>
                <w:rFonts w:asciiTheme="majorHAnsi" w:eastAsiaTheme="majorEastAsia" w:hAnsiTheme="majorHAnsi" w:cstheme="majorBidi"/>
                <w:b/>
                <w:sz w:val="26"/>
                <w:szCs w:val="26"/>
              </w:rPr>
            </w:pPr>
          </w:p>
        </w:tc>
      </w:tr>
    </w:tbl>
    <w:p w14:paraId="3A20242A" w14:textId="77777777" w:rsidR="000D18B4" w:rsidRPr="00981987" w:rsidRDefault="000D18B4" w:rsidP="000D18B4">
      <w:pPr>
        <w:keepNext/>
        <w:keepLines/>
        <w:spacing w:before="40" w:after="0"/>
        <w:ind w:firstLine="360"/>
        <w:outlineLvl w:val="1"/>
        <w:rPr>
          <w:rFonts w:asciiTheme="majorHAnsi" w:eastAsiaTheme="majorEastAsia" w:hAnsiTheme="majorHAnsi" w:cstheme="majorBidi"/>
          <w:b/>
          <w:color w:val="7030A0"/>
          <w:sz w:val="26"/>
          <w:szCs w:val="26"/>
        </w:rPr>
      </w:pPr>
    </w:p>
    <w:p w14:paraId="7E182BC2" w14:textId="52DCD8E3" w:rsidR="000D18B4" w:rsidRDefault="000D18B4" w:rsidP="000D18B4">
      <w:r>
        <w:t>A very strong theme across all consultation processes and among Taskforce and Expert Reference Group members is the importance of community to older people. Older people want to be able to continue to enjoy life to the full</w:t>
      </w:r>
      <w:r w:rsidR="0088254E">
        <w:t>est</w:t>
      </w:r>
      <w:r>
        <w:t>, and be connected with their family, friends and the community. A sense of belonging, social connectedness and p</w:t>
      </w:r>
      <w:r w:rsidRPr="004C1AE3">
        <w:t xml:space="preserve">articipation in the community </w:t>
      </w:r>
      <w:r w:rsidR="0088254E">
        <w:t>is</w:t>
      </w:r>
      <w:r w:rsidR="0088254E" w:rsidRPr="004C1AE3">
        <w:t xml:space="preserve"> </w:t>
      </w:r>
      <w:r w:rsidRPr="004C1AE3">
        <w:t xml:space="preserve">essential to </w:t>
      </w:r>
      <w:r>
        <w:t>q</w:t>
      </w:r>
      <w:r w:rsidRPr="004C1AE3">
        <w:t>uality of life</w:t>
      </w:r>
      <w:r>
        <w:t xml:space="preserve"> and well-being,</w:t>
      </w:r>
      <w:r w:rsidRPr="004C1AE3">
        <w:t xml:space="preserve"> and is beneficial for the wider community.  </w:t>
      </w:r>
    </w:p>
    <w:p w14:paraId="00539CC7" w14:textId="3A92DE15" w:rsidR="000D18B4" w:rsidRDefault="0088254E" w:rsidP="000D18B4">
      <w:pPr>
        <w:keepNext/>
        <w:keepLines/>
        <w:spacing w:before="40"/>
        <w:outlineLvl w:val="1"/>
      </w:pPr>
      <w:r>
        <w:t>C</w:t>
      </w:r>
      <w:r w:rsidR="000D18B4" w:rsidRPr="004C1AE3">
        <w:t xml:space="preserve">urrent </w:t>
      </w:r>
      <w:r>
        <w:t xml:space="preserve">older </w:t>
      </w:r>
      <w:r w:rsidR="000D18B4" w:rsidRPr="004C1AE3">
        <w:t>generations are more active and more productive than preceding generations</w:t>
      </w:r>
      <w:r>
        <w:t>, a fact that c</w:t>
      </w:r>
      <w:r w:rsidRPr="004C1AE3">
        <w:t>halleng</w:t>
      </w:r>
      <w:r>
        <w:t>es</w:t>
      </w:r>
      <w:r w:rsidRPr="004C1AE3">
        <w:t xml:space="preserve"> some of the well-known preconceptions of an ageing population</w:t>
      </w:r>
      <w:r w:rsidR="000D18B4" w:rsidRPr="004C1AE3">
        <w:t>. In addition, advances in medical science and</w:t>
      </w:r>
      <w:r w:rsidR="000D18B4">
        <w:t xml:space="preserve"> </w:t>
      </w:r>
      <w:r w:rsidR="000D18B4" w:rsidRPr="004C1AE3">
        <w:t xml:space="preserve">easier access to improved therapies </w:t>
      </w:r>
      <w:r w:rsidR="000D18B4">
        <w:t>are</w:t>
      </w:r>
      <w:r w:rsidR="000D18B4" w:rsidRPr="004C1AE3">
        <w:t xml:space="preserve"> predicted to significantly lessen the burden of disease.</w:t>
      </w:r>
      <w:r w:rsidR="000D18B4" w:rsidRPr="001E70F0">
        <w:rPr>
          <w:vertAlign w:val="superscript"/>
        </w:rPr>
        <w:footnoteReference w:id="30"/>
      </w:r>
      <w:r w:rsidR="00001964">
        <w:t xml:space="preserve"> </w:t>
      </w:r>
      <w:r w:rsidR="000D18B4" w:rsidRPr="004C1AE3">
        <w:t>Therefore</w:t>
      </w:r>
      <w:r>
        <w:t>,</w:t>
      </w:r>
      <w:r w:rsidR="000D18B4" w:rsidRPr="004C1AE3">
        <w:t xml:space="preserve"> providing </w:t>
      </w:r>
      <w:r w:rsidR="000D18B4">
        <w:t xml:space="preserve">greater </w:t>
      </w:r>
      <w:r w:rsidR="000D18B4" w:rsidRPr="004C1AE3">
        <w:t xml:space="preserve">access to services through age-friendly infrastructure and increased and improved transport solutions can </w:t>
      </w:r>
      <w:r>
        <w:t>help</w:t>
      </w:r>
      <w:r w:rsidRPr="004C1AE3">
        <w:t xml:space="preserve"> </w:t>
      </w:r>
      <w:r w:rsidR="000D18B4" w:rsidRPr="004C1AE3">
        <w:t xml:space="preserve">older people participate actively in community life. </w:t>
      </w:r>
    </w:p>
    <w:p w14:paraId="22B235F8" w14:textId="51CAE7AA" w:rsidR="000D18B4" w:rsidRDefault="000D18B4" w:rsidP="00751207">
      <w:pPr>
        <w:keepNext/>
        <w:keepLines/>
        <w:spacing w:before="40"/>
        <w:outlineLvl w:val="1"/>
      </w:pPr>
      <w:r w:rsidRPr="0057603D">
        <w:t>Access to employment for older people</w:t>
      </w:r>
      <w:r>
        <w:t xml:space="preserve"> can be</w:t>
      </w:r>
      <w:r w:rsidRPr="0057603D">
        <w:t xml:space="preserve"> limited, affecting their participation</w:t>
      </w:r>
      <w:r>
        <w:t xml:space="preserve"> and fin</w:t>
      </w:r>
      <w:r w:rsidRPr="0057603D">
        <w:t xml:space="preserve">ancial well-being. </w:t>
      </w:r>
      <w:r w:rsidRPr="004C1AE3">
        <w:t>The Australian Human Rights Commission published a report in 2010 outlining the barriers faced by mature age workers and the social and psychological cost</w:t>
      </w:r>
      <w:r w:rsidR="0088254E">
        <w:t>s</w:t>
      </w:r>
      <w:r w:rsidRPr="004C1AE3">
        <w:t xml:space="preserve"> of this issue. The report found that mature age workers can be viewed by managers and co-workers as less efficient, less trainable and less valuable than </w:t>
      </w:r>
      <w:r w:rsidR="0088254E" w:rsidRPr="004C1AE3">
        <w:t xml:space="preserve">younger </w:t>
      </w:r>
      <w:r w:rsidRPr="004C1AE3">
        <w:t>people.</w:t>
      </w:r>
      <w:r w:rsidRPr="004C1AE3">
        <w:rPr>
          <w:rStyle w:val="FootnoteReference"/>
        </w:rPr>
        <w:footnoteReference w:id="31"/>
      </w:r>
      <w:r w:rsidRPr="004C1AE3">
        <w:t xml:space="preserve"> These stereotypes impact on the social and psychological wellbeing of older Australians</w:t>
      </w:r>
      <w:r w:rsidR="0088254E">
        <w:t xml:space="preserve">. The </w:t>
      </w:r>
      <w:r w:rsidRPr="004C1AE3">
        <w:t>result</w:t>
      </w:r>
      <w:r w:rsidR="0088254E">
        <w:t>ant</w:t>
      </w:r>
      <w:r w:rsidRPr="004C1AE3">
        <w:t xml:space="preserve"> social costs can place individuals under financial stress, and increas</w:t>
      </w:r>
      <w:r w:rsidR="0088254E">
        <w:t>e</w:t>
      </w:r>
      <w:r w:rsidRPr="004C1AE3">
        <w:t xml:space="preserve"> the risk that individuals will </w:t>
      </w:r>
      <w:r w:rsidR="0088254E">
        <w:t>live</w:t>
      </w:r>
      <w:r w:rsidRPr="004C1AE3">
        <w:t xml:space="preserve"> in poverty in their later years. Inability to access quality paid work has been linked to inactivity, cognitive decline, depression and social isolation.</w:t>
      </w:r>
      <w:r w:rsidRPr="004C1AE3">
        <w:rPr>
          <w:rStyle w:val="FootnoteReference"/>
        </w:rPr>
        <w:footnoteReference w:id="32"/>
      </w:r>
      <w:r w:rsidRPr="004C1AE3">
        <w:t xml:space="preserve"> </w:t>
      </w:r>
    </w:p>
    <w:p w14:paraId="3CDE49D0" w14:textId="040FE24E" w:rsidR="000D18B4" w:rsidRDefault="000D18B4" w:rsidP="000D18B4">
      <w:pPr>
        <w:contextualSpacing/>
      </w:pPr>
      <w:r w:rsidRPr="004C1AE3">
        <w:t xml:space="preserve">Addressing </w:t>
      </w:r>
      <w:r w:rsidR="0088254E">
        <w:t>employment</w:t>
      </w:r>
      <w:r w:rsidR="0088254E" w:rsidRPr="004C1AE3">
        <w:t xml:space="preserve"> </w:t>
      </w:r>
      <w:r w:rsidRPr="004C1AE3">
        <w:t>barriers can ensure that there is more diversity in the workforce</w:t>
      </w:r>
      <w:r w:rsidR="0086453F">
        <w:t xml:space="preserve"> and </w:t>
      </w:r>
      <w:r w:rsidR="00001964">
        <w:t>society</w:t>
      </w:r>
      <w:r w:rsidR="00001964" w:rsidRPr="004C1AE3">
        <w:t xml:space="preserve"> </w:t>
      </w:r>
      <w:r w:rsidRPr="004C1AE3">
        <w:t>retain</w:t>
      </w:r>
      <w:r w:rsidR="00001964">
        <w:t>s</w:t>
      </w:r>
      <w:r w:rsidRPr="004C1AE3">
        <w:t xml:space="preserve"> the knowledge, wisdom and experience of older people</w:t>
      </w:r>
      <w:r w:rsidR="0086453F">
        <w:t>. It also</w:t>
      </w:r>
      <w:r w:rsidRPr="004C1AE3">
        <w:t xml:space="preserve"> provide</w:t>
      </w:r>
      <w:r w:rsidR="0086453F">
        <w:t>s</w:t>
      </w:r>
      <w:r w:rsidRPr="004C1AE3">
        <w:t xml:space="preserve"> opportunities for intergenerational knowledge</w:t>
      </w:r>
      <w:r w:rsidR="0086453F">
        <w:t>-</w:t>
      </w:r>
      <w:r w:rsidRPr="004C1AE3">
        <w:t>sharing</w:t>
      </w:r>
      <w:r w:rsidR="0086453F">
        <w:t>,</w:t>
      </w:r>
      <w:r w:rsidRPr="004C1AE3">
        <w:t xml:space="preserve"> and guidance and mentoring for younger </w:t>
      </w:r>
      <w:r w:rsidR="0086453F">
        <w:t>workers</w:t>
      </w:r>
      <w:r w:rsidRPr="004C1AE3">
        <w:t xml:space="preserve">. Far from being net receivers of help and support, older people are, in fact, net providers. </w:t>
      </w:r>
      <w:r>
        <w:t>Even if not in the formal workforce, t</w:t>
      </w:r>
      <w:r w:rsidRPr="004C1AE3">
        <w:t xml:space="preserve">hey </w:t>
      </w:r>
      <w:r w:rsidR="0086453F">
        <w:t xml:space="preserve">often </w:t>
      </w:r>
      <w:r w:rsidRPr="004C1AE3">
        <w:t>provide childcare, financial, practical and emotional assistance to family members</w:t>
      </w:r>
      <w:r w:rsidR="0086453F">
        <w:t>,</w:t>
      </w:r>
      <w:r w:rsidRPr="004C1AE3">
        <w:t xml:space="preserve"> </w:t>
      </w:r>
      <w:r w:rsidR="0086453F">
        <w:t>such as</w:t>
      </w:r>
      <w:r w:rsidR="0086453F" w:rsidRPr="004C1AE3">
        <w:t xml:space="preserve"> </w:t>
      </w:r>
      <w:r w:rsidRPr="004C1AE3">
        <w:t>helping people outside the household with the tasks of daily living.</w:t>
      </w:r>
      <w:r w:rsidRPr="004C1AE3">
        <w:rPr>
          <w:rStyle w:val="FootnoteReference"/>
        </w:rPr>
        <w:footnoteReference w:id="33"/>
      </w:r>
    </w:p>
    <w:p w14:paraId="142E83FC" w14:textId="77777777" w:rsidR="000D18B4" w:rsidRDefault="000D18B4" w:rsidP="000D18B4">
      <w:pPr>
        <w:contextualSpacing/>
      </w:pPr>
    </w:p>
    <w:p w14:paraId="578A0F4C" w14:textId="5F2BAE7A" w:rsidR="000D18B4" w:rsidRPr="002D2B2C" w:rsidRDefault="000D18B4" w:rsidP="000D18B4">
      <w:pPr>
        <w:pStyle w:val="Heading2"/>
      </w:pPr>
      <w:bookmarkStart w:id="559" w:name="_Toc460257502"/>
      <w:r>
        <w:lastRenderedPageBreak/>
        <w:t>Cultural aspects</w:t>
      </w:r>
      <w:bookmarkEnd w:id="559"/>
    </w:p>
    <w:tbl>
      <w:tblPr>
        <w:tblStyle w:val="TableGrid"/>
        <w:tblW w:w="0" w:type="auto"/>
        <w:tblLook w:val="04A0" w:firstRow="1" w:lastRow="0" w:firstColumn="1" w:lastColumn="0" w:noHBand="0" w:noVBand="1"/>
      </w:tblPr>
      <w:tblGrid>
        <w:gridCol w:w="9322"/>
      </w:tblGrid>
      <w:tr w:rsidR="000D18B4" w14:paraId="54053447" w14:textId="77777777" w:rsidTr="00BA3344">
        <w:tc>
          <w:tcPr>
            <w:tcW w:w="9548" w:type="dxa"/>
          </w:tcPr>
          <w:p w14:paraId="6679B727" w14:textId="77777777" w:rsidR="000D18B4" w:rsidRDefault="000D18B4" w:rsidP="00BA3344">
            <w:pPr>
              <w:pStyle w:val="Boxheading"/>
            </w:pPr>
            <w:r>
              <w:t xml:space="preserve">Issues </w:t>
            </w:r>
          </w:p>
          <w:p w14:paraId="667441E9" w14:textId="1A34A46D" w:rsidR="000D18B4" w:rsidRDefault="000D18B4" w:rsidP="0005526D">
            <w:pPr>
              <w:pStyle w:val="ListParagraph"/>
              <w:numPr>
                <w:ilvl w:val="0"/>
                <w:numId w:val="7"/>
              </w:numPr>
              <w:spacing w:after="0" w:line="240" w:lineRule="auto"/>
            </w:pPr>
            <w:r>
              <w:t>Limited English language proficiency can result in difficulties accessing services or a lack of awareness of services</w:t>
            </w:r>
            <w:r w:rsidR="0086453F">
              <w:t>.</w:t>
            </w:r>
          </w:p>
          <w:p w14:paraId="15117352" w14:textId="0C78C8DA" w:rsidR="000D18B4" w:rsidRDefault="000D18B4" w:rsidP="0005526D">
            <w:pPr>
              <w:pStyle w:val="ListParagraph"/>
              <w:numPr>
                <w:ilvl w:val="0"/>
                <w:numId w:val="7"/>
              </w:numPr>
              <w:spacing w:after="0" w:line="240" w:lineRule="auto"/>
            </w:pPr>
            <w:r>
              <w:t>Cultural issues or preferences can result in a reluctance to access services</w:t>
            </w:r>
            <w:r w:rsidR="0086453F">
              <w:t>.</w:t>
            </w:r>
            <w:r>
              <w:t xml:space="preserve"> </w:t>
            </w:r>
          </w:p>
          <w:p w14:paraId="5981C4F0" w14:textId="10BDFF42" w:rsidR="000D18B4" w:rsidRDefault="000D18B4" w:rsidP="0005526D">
            <w:pPr>
              <w:pStyle w:val="ListParagraph"/>
              <w:numPr>
                <w:ilvl w:val="0"/>
                <w:numId w:val="7"/>
              </w:numPr>
              <w:spacing w:after="0" w:line="240" w:lineRule="auto"/>
            </w:pPr>
            <w:r>
              <w:t>It can be more difficult for some people to access rental housing because of their race, religion or cultural background</w:t>
            </w:r>
            <w:r w:rsidR="0086453F">
              <w:t>.</w:t>
            </w:r>
          </w:p>
          <w:p w14:paraId="626D1536" w14:textId="7094AFA7" w:rsidR="000D18B4" w:rsidRDefault="000D18B4" w:rsidP="0005526D">
            <w:pPr>
              <w:pStyle w:val="ListParagraph"/>
              <w:numPr>
                <w:ilvl w:val="0"/>
                <w:numId w:val="7"/>
              </w:numPr>
              <w:spacing w:after="0" w:line="240" w:lineRule="auto"/>
            </w:pPr>
            <w:r>
              <w:t>Some services may be culturally inappropriate and workers may lack cultural competenc</w:t>
            </w:r>
            <w:r w:rsidR="0086453F">
              <w:t>y.</w:t>
            </w:r>
          </w:p>
          <w:p w14:paraId="0DD39349" w14:textId="22A6131C" w:rsidR="000D18B4" w:rsidRDefault="000D18B4" w:rsidP="0005526D">
            <w:pPr>
              <w:numPr>
                <w:ilvl w:val="0"/>
                <w:numId w:val="7"/>
              </w:numPr>
              <w:spacing w:after="0" w:line="240" w:lineRule="auto"/>
              <w:contextualSpacing/>
            </w:pPr>
            <w:r>
              <w:t>A</w:t>
            </w:r>
            <w:r w:rsidRPr="007D2C8F">
              <w:t>ttitudes about family roles and responsibilities</w:t>
            </w:r>
            <w:r w:rsidR="0086453F" w:rsidRPr="007D2C8F">
              <w:t xml:space="preserve"> </w:t>
            </w:r>
            <w:r w:rsidR="0086453F">
              <w:t xml:space="preserve">may </w:t>
            </w:r>
            <w:r w:rsidR="0086453F" w:rsidRPr="007D2C8F">
              <w:t xml:space="preserve">result in criticism </w:t>
            </w:r>
            <w:r w:rsidR="0086453F">
              <w:t>of</w:t>
            </w:r>
            <w:r w:rsidR="0086453F" w:rsidRPr="007D2C8F">
              <w:t xml:space="preserve"> those who relinquish it</w:t>
            </w:r>
            <w:r w:rsidR="0086453F">
              <w:t xml:space="preserve">. </w:t>
            </w:r>
            <w:r w:rsidR="00E132BF">
              <w:t xml:space="preserve">For example, </w:t>
            </w:r>
            <w:r w:rsidRPr="007D2C8F">
              <w:t xml:space="preserve">in some communities caring for an older person may be seen as </w:t>
            </w:r>
            <w:r>
              <w:t>a</w:t>
            </w:r>
            <w:r w:rsidRPr="007D2C8F">
              <w:t xml:space="preserve"> family responsibility</w:t>
            </w:r>
            <w:r w:rsidR="00E132BF" w:rsidRPr="007D2C8F">
              <w:t xml:space="preserve"> only</w:t>
            </w:r>
            <w:r w:rsidR="00E132BF">
              <w:t>.</w:t>
            </w:r>
            <w:r w:rsidRPr="007D2C8F">
              <w:t xml:space="preserve"> </w:t>
            </w:r>
          </w:p>
          <w:p w14:paraId="08C602C2" w14:textId="1B980DF5" w:rsidR="000D18B4" w:rsidRDefault="000D18B4" w:rsidP="0005526D">
            <w:pPr>
              <w:pStyle w:val="ListParagraph"/>
              <w:numPr>
                <w:ilvl w:val="0"/>
                <w:numId w:val="7"/>
              </w:numPr>
              <w:spacing w:after="0" w:line="240" w:lineRule="auto"/>
            </w:pPr>
            <w:r>
              <w:t xml:space="preserve">People from culturally and linguistically diverse </w:t>
            </w:r>
            <w:r w:rsidR="00E132BF">
              <w:t xml:space="preserve">(CALD) </w:t>
            </w:r>
            <w:r>
              <w:t xml:space="preserve">communities may </w:t>
            </w:r>
            <w:r w:rsidR="00E132BF">
              <w:t>experience</w:t>
            </w:r>
            <w:r>
              <w:t xml:space="preserve"> isolation and fewer support structures. In particular, older </w:t>
            </w:r>
            <w:r w:rsidR="00E132BF">
              <w:t xml:space="preserve">CALD </w:t>
            </w:r>
            <w:r>
              <w:t xml:space="preserve">women </w:t>
            </w:r>
            <w:r w:rsidR="00E132BF">
              <w:t xml:space="preserve">may </w:t>
            </w:r>
            <w:r>
              <w:t xml:space="preserve">be fearful of interacting with unfamiliar people. </w:t>
            </w:r>
          </w:p>
          <w:p w14:paraId="2F647889" w14:textId="7402F23C" w:rsidR="000D18B4" w:rsidRDefault="000D18B4" w:rsidP="0005526D">
            <w:pPr>
              <w:pStyle w:val="ListParagraph"/>
              <w:numPr>
                <w:ilvl w:val="0"/>
                <w:numId w:val="7"/>
              </w:numPr>
              <w:spacing w:after="0" w:line="240" w:lineRule="auto"/>
            </w:pPr>
            <w:r>
              <w:t xml:space="preserve">Housing may not cater for people’s cultural </w:t>
            </w:r>
            <w:r w:rsidR="00E132BF">
              <w:t>needs.</w:t>
            </w:r>
          </w:p>
          <w:p w14:paraId="3C70F21E" w14:textId="77777777" w:rsidR="000D18B4" w:rsidRDefault="000D18B4" w:rsidP="00BA3344">
            <w:pPr>
              <w:pStyle w:val="ListParagraph"/>
              <w:spacing w:after="0" w:line="240" w:lineRule="auto"/>
              <w:rPr>
                <w:rFonts w:asciiTheme="majorHAnsi" w:eastAsiaTheme="majorEastAsia" w:hAnsiTheme="majorHAnsi" w:cstheme="majorBidi"/>
                <w:b/>
                <w:sz w:val="26"/>
                <w:szCs w:val="26"/>
              </w:rPr>
            </w:pPr>
          </w:p>
        </w:tc>
      </w:tr>
    </w:tbl>
    <w:p w14:paraId="66B3574A" w14:textId="77777777" w:rsidR="000D18B4" w:rsidRDefault="000D18B4" w:rsidP="000D18B4">
      <w:pPr>
        <w:keepNext/>
        <w:keepLines/>
        <w:spacing w:before="40" w:after="0"/>
        <w:ind w:firstLine="360"/>
        <w:outlineLvl w:val="1"/>
        <w:rPr>
          <w:rFonts w:asciiTheme="majorHAnsi" w:eastAsiaTheme="majorEastAsia" w:hAnsiTheme="majorHAnsi" w:cstheme="majorBidi"/>
          <w:b/>
          <w:sz w:val="26"/>
          <w:szCs w:val="26"/>
        </w:rPr>
      </w:pPr>
    </w:p>
    <w:p w14:paraId="0928A760" w14:textId="4DA54956" w:rsidR="000D18B4" w:rsidRDefault="000D18B4" w:rsidP="000D18B4">
      <w:r w:rsidRPr="007D2C8F">
        <w:t xml:space="preserve">The 2011 Australian Census showed that over 1.3 million Australians aged over 50 were born in a </w:t>
      </w:r>
      <w:r w:rsidR="009555A5">
        <w:t xml:space="preserve">     </w:t>
      </w:r>
      <w:r w:rsidRPr="007D2C8F">
        <w:t>non-English speaking country, representing more than 20 per</w:t>
      </w:r>
      <w:r>
        <w:t xml:space="preserve"> </w:t>
      </w:r>
      <w:r w:rsidRPr="007D2C8F">
        <w:t xml:space="preserve">cent of people in that age group. Research shows that older CALD Australians are less likely to use available services, including Home Support Program services, and rely more heavily on family for care and support than non-CALD Australians. </w:t>
      </w:r>
      <w:r w:rsidRPr="007D2C8F">
        <w:rPr>
          <w:vertAlign w:val="superscript"/>
        </w:rPr>
        <w:footnoteReference w:id="34"/>
      </w:r>
    </w:p>
    <w:p w14:paraId="0FF934B5" w14:textId="77777777" w:rsidR="0086453F" w:rsidRPr="004C1AE3" w:rsidRDefault="0086453F" w:rsidP="000D18B4"/>
    <w:p w14:paraId="77A9BA28" w14:textId="628BCE07" w:rsidR="000D18B4" w:rsidRPr="004C1AE3" w:rsidRDefault="000D18B4" w:rsidP="000D18B4">
      <w:pPr>
        <w:pStyle w:val="Heading2"/>
      </w:pPr>
      <w:bookmarkStart w:id="560" w:name="_Toc457512488"/>
      <w:bookmarkStart w:id="561" w:name="_Toc457506461"/>
      <w:bookmarkStart w:id="562" w:name="_Toc457512489"/>
      <w:bookmarkStart w:id="563" w:name="_Toc457506462"/>
      <w:bookmarkStart w:id="564" w:name="_Toc457512490"/>
      <w:bookmarkStart w:id="565" w:name="_Toc457506463"/>
      <w:bookmarkStart w:id="566" w:name="_Toc457512491"/>
      <w:bookmarkStart w:id="567" w:name="_Toc457506464"/>
      <w:bookmarkStart w:id="568" w:name="_Toc457512492"/>
      <w:bookmarkStart w:id="569" w:name="_Toc457506465"/>
      <w:bookmarkStart w:id="570" w:name="_Toc457512493"/>
      <w:bookmarkStart w:id="571" w:name="_Toc457506466"/>
      <w:bookmarkStart w:id="572" w:name="_Toc457512494"/>
      <w:bookmarkStart w:id="573" w:name="_Toc457506467"/>
      <w:bookmarkStart w:id="574" w:name="_Toc457512495"/>
      <w:bookmarkStart w:id="575" w:name="_Toc457506468"/>
      <w:bookmarkStart w:id="576" w:name="_Toc457512496"/>
      <w:bookmarkStart w:id="577" w:name="_Toc457506469"/>
      <w:bookmarkStart w:id="578" w:name="_Toc457512497"/>
      <w:bookmarkStart w:id="579" w:name="_Toc457506470"/>
      <w:bookmarkStart w:id="580" w:name="_Toc457512498"/>
      <w:bookmarkStart w:id="581" w:name="_Toc457506471"/>
      <w:bookmarkStart w:id="582" w:name="_Toc457512499"/>
      <w:bookmarkStart w:id="583" w:name="_Toc457506472"/>
      <w:bookmarkStart w:id="584" w:name="_Toc457512500"/>
      <w:bookmarkStart w:id="585" w:name="_Toc460257503"/>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4C1AE3">
        <w:t>Financial</w:t>
      </w:r>
      <w:r>
        <w:t xml:space="preserve"> capacity</w:t>
      </w:r>
      <w:bookmarkEnd w:id="585"/>
    </w:p>
    <w:tbl>
      <w:tblPr>
        <w:tblStyle w:val="TableGrid"/>
        <w:tblW w:w="0" w:type="auto"/>
        <w:tblLook w:val="04A0" w:firstRow="1" w:lastRow="0" w:firstColumn="1" w:lastColumn="0" w:noHBand="0" w:noVBand="1"/>
      </w:tblPr>
      <w:tblGrid>
        <w:gridCol w:w="9322"/>
      </w:tblGrid>
      <w:tr w:rsidR="000D18B4" w14:paraId="74ED96B6" w14:textId="77777777" w:rsidTr="00BA3344">
        <w:tc>
          <w:tcPr>
            <w:tcW w:w="9548" w:type="dxa"/>
          </w:tcPr>
          <w:p w14:paraId="455777C8" w14:textId="77777777" w:rsidR="000D18B4" w:rsidRDefault="000D18B4" w:rsidP="00BA3344">
            <w:pPr>
              <w:pStyle w:val="Boxheading"/>
            </w:pPr>
            <w:r>
              <w:t xml:space="preserve">Issues </w:t>
            </w:r>
          </w:p>
          <w:p w14:paraId="479B192F" w14:textId="03D57CD6" w:rsidR="000D18B4" w:rsidRDefault="000D18B4" w:rsidP="0005526D">
            <w:pPr>
              <w:pStyle w:val="ListParagraph"/>
              <w:numPr>
                <w:ilvl w:val="0"/>
                <w:numId w:val="7"/>
              </w:numPr>
              <w:spacing w:after="0" w:line="240" w:lineRule="auto"/>
            </w:pPr>
            <w:r>
              <w:t>People enter later life with different levels of income and with different financial capacit</w:t>
            </w:r>
            <w:r w:rsidR="005A27DD">
              <w:t>ies. These have</w:t>
            </w:r>
            <w:r>
              <w:t xml:space="preserve"> a direct influence on the </w:t>
            </w:r>
            <w:r w:rsidR="005A27DD">
              <w:t xml:space="preserve">housing </w:t>
            </w:r>
            <w:r>
              <w:t xml:space="preserve">choices they </w:t>
            </w:r>
            <w:r w:rsidR="005A27DD">
              <w:t xml:space="preserve">can </w:t>
            </w:r>
            <w:r>
              <w:t>make</w:t>
            </w:r>
            <w:r w:rsidR="005A27DD">
              <w:t>, such as whether to purchase or rent</w:t>
            </w:r>
            <w:r>
              <w:t xml:space="preserve"> alternative housing. Many older people have fixed or lower incomes and have difficulty meeting housing costs</w:t>
            </w:r>
            <w:r w:rsidR="005A27DD">
              <w:t>.</w:t>
            </w:r>
          </w:p>
          <w:p w14:paraId="2421FEA3" w14:textId="289498F5" w:rsidR="000D18B4" w:rsidRDefault="000D18B4" w:rsidP="0005526D">
            <w:pPr>
              <w:pStyle w:val="ListParagraph"/>
              <w:numPr>
                <w:ilvl w:val="0"/>
                <w:numId w:val="7"/>
              </w:numPr>
              <w:spacing w:after="0" w:line="240" w:lineRule="auto"/>
            </w:pPr>
            <w:r>
              <w:t>E</w:t>
            </w:r>
            <w:r w:rsidRPr="00995C89">
              <w:t>ligibility for</w:t>
            </w:r>
            <w:r w:rsidR="005A27DD">
              <w:t>,</w:t>
            </w:r>
            <w:r>
              <w:t xml:space="preserve"> and access to</w:t>
            </w:r>
            <w:r w:rsidR="005A27DD">
              <w:t>,</w:t>
            </w:r>
            <w:r>
              <w:t xml:space="preserve"> </w:t>
            </w:r>
            <w:r w:rsidRPr="00995C89">
              <w:t>rebates</w:t>
            </w:r>
            <w:r>
              <w:t xml:space="preserve"> and concessions </w:t>
            </w:r>
            <w:r w:rsidR="008C21CD">
              <w:t>(</w:t>
            </w:r>
            <w:r w:rsidR="00001964">
              <w:t>for example,</w:t>
            </w:r>
            <w:r w:rsidR="008C21CD">
              <w:t xml:space="preserve"> for rates</w:t>
            </w:r>
            <w:r w:rsidR="00001964">
              <w:t xml:space="preserve"> and</w:t>
            </w:r>
            <w:r w:rsidR="008C21CD">
              <w:t xml:space="preserve"> electricity) </w:t>
            </w:r>
            <w:r w:rsidR="005A27DD">
              <w:t xml:space="preserve">are </w:t>
            </w:r>
            <w:r>
              <w:t xml:space="preserve">confusing and can vary across </w:t>
            </w:r>
            <w:r w:rsidR="005A27DD">
              <w:t xml:space="preserve">local government </w:t>
            </w:r>
            <w:r w:rsidR="008C21CD">
              <w:t>areas.</w:t>
            </w:r>
          </w:p>
          <w:p w14:paraId="47326F88" w14:textId="77777777" w:rsidR="000D18B4" w:rsidRDefault="000D18B4" w:rsidP="00BA3344">
            <w:pPr>
              <w:pStyle w:val="ListParagraph"/>
              <w:spacing w:after="0" w:line="240" w:lineRule="auto"/>
              <w:rPr>
                <w:rFonts w:asciiTheme="majorHAnsi" w:eastAsiaTheme="majorEastAsia" w:hAnsiTheme="majorHAnsi" w:cstheme="majorBidi"/>
                <w:b/>
                <w:sz w:val="26"/>
                <w:szCs w:val="26"/>
              </w:rPr>
            </w:pPr>
          </w:p>
        </w:tc>
      </w:tr>
    </w:tbl>
    <w:p w14:paraId="59BBA9F2" w14:textId="77777777" w:rsidR="000D18B4" w:rsidRDefault="000D18B4" w:rsidP="000D18B4">
      <w:pPr>
        <w:contextualSpacing/>
        <w:rPr>
          <w:b/>
          <w:color w:val="4BACC6" w:themeColor="accent5"/>
        </w:rPr>
      </w:pPr>
    </w:p>
    <w:p w14:paraId="0F737D10" w14:textId="6422034E" w:rsidR="0042333E" w:rsidRDefault="008C21CD" w:rsidP="0042333E">
      <w:r>
        <w:t>The Queensland Council of Social Service (</w:t>
      </w:r>
      <w:r w:rsidR="0042333E">
        <w:t>QCOSS</w:t>
      </w:r>
      <w:r>
        <w:t>)</w:t>
      </w:r>
      <w:r w:rsidR="0042333E">
        <w:t xml:space="preserve"> </w:t>
      </w:r>
      <w:r>
        <w:t xml:space="preserve">advised </w:t>
      </w:r>
      <w:r w:rsidR="0042333E">
        <w:t xml:space="preserve">that housing costs are the single largest financial burden for older Queenslanders who rely on the age pension or have lower incomes, especially those who </w:t>
      </w:r>
      <w:r w:rsidR="00F07353">
        <w:t>r</w:t>
      </w:r>
      <w:r w:rsidR="0042333E">
        <w:t>ent in the private market.</w:t>
      </w:r>
      <w:r w:rsidR="00145A09">
        <w:rPr>
          <w:rStyle w:val="FootnoteReference"/>
        </w:rPr>
        <w:footnoteReference w:id="35"/>
      </w:r>
      <w:r w:rsidR="0042333E">
        <w:t xml:space="preserve">  </w:t>
      </w:r>
    </w:p>
    <w:p w14:paraId="5C91819D" w14:textId="18CF0720" w:rsidR="0042333E" w:rsidRDefault="0042333E" w:rsidP="0042333E">
      <w:r w:rsidRPr="004C1AE3">
        <w:t xml:space="preserve">The Queensland </w:t>
      </w:r>
      <w:r w:rsidR="008C21CD">
        <w:t>G</w:t>
      </w:r>
      <w:r w:rsidRPr="004C1AE3">
        <w:t>overnment and local government</w:t>
      </w:r>
      <w:r>
        <w:t>s</w:t>
      </w:r>
      <w:r w:rsidRPr="004C1AE3">
        <w:t xml:space="preserve"> provide concessions and rebates to eligible older Queenslanders for electricity, water, rates and gas. These concessions and rebates provide some financial relief </w:t>
      </w:r>
      <w:r w:rsidR="008C21CD">
        <w:t>that</w:t>
      </w:r>
      <w:r w:rsidR="008C21CD" w:rsidRPr="004C1AE3">
        <w:t xml:space="preserve"> </w:t>
      </w:r>
      <w:r w:rsidRPr="004C1AE3">
        <w:t>assist</w:t>
      </w:r>
      <w:r w:rsidR="008C21CD">
        <w:t>s</w:t>
      </w:r>
      <w:r w:rsidRPr="004C1AE3">
        <w:t xml:space="preserve"> older Queensla</w:t>
      </w:r>
      <w:r>
        <w:t>nders</w:t>
      </w:r>
      <w:r w:rsidR="008C21CD">
        <w:t>,</w:t>
      </w:r>
      <w:r>
        <w:t xml:space="preserve"> particularly pensioners and those with </w:t>
      </w:r>
      <w:r w:rsidRPr="004C1AE3">
        <w:t>lower incomes</w:t>
      </w:r>
      <w:r w:rsidR="00DE2B52">
        <w:t xml:space="preserve"> with their housing costs</w:t>
      </w:r>
      <w:r w:rsidRPr="004C1AE3">
        <w:t xml:space="preserve">. </w:t>
      </w:r>
      <w:r w:rsidR="008C21CD">
        <w:t>S</w:t>
      </w:r>
      <w:r w:rsidRPr="004C1AE3">
        <w:t>ome concessions</w:t>
      </w:r>
      <w:r w:rsidRPr="005F7F4F">
        <w:t xml:space="preserve"> are available to all </w:t>
      </w:r>
      <w:r>
        <w:t>older people</w:t>
      </w:r>
      <w:r w:rsidRPr="005F7F4F">
        <w:t xml:space="preserve"> irrespective of assets and in</w:t>
      </w:r>
      <w:r>
        <w:t xml:space="preserve">come.  </w:t>
      </w:r>
    </w:p>
    <w:p w14:paraId="552643B8" w14:textId="1F046046" w:rsidR="0042333E" w:rsidRDefault="0042333E" w:rsidP="0042333E">
      <w:pPr>
        <w:rPr>
          <w:rFonts w:asciiTheme="majorHAnsi" w:eastAsiaTheme="majorEastAsia" w:hAnsiTheme="majorHAnsi" w:cstheme="majorBidi"/>
          <w:b/>
          <w:color w:val="365F91" w:themeColor="accent1" w:themeShade="BF"/>
          <w:sz w:val="24"/>
          <w:szCs w:val="24"/>
        </w:rPr>
      </w:pPr>
      <w:r w:rsidRPr="004C1AE3">
        <w:t xml:space="preserve">The Taskforce noted some inconsistencies in </w:t>
      </w:r>
      <w:r>
        <w:t>concession amounts</w:t>
      </w:r>
      <w:r w:rsidR="008C21CD">
        <w:t>,</w:t>
      </w:r>
      <w:r>
        <w:t xml:space="preserve"> such </w:t>
      </w:r>
      <w:r w:rsidR="003D6CCA">
        <w:t xml:space="preserve">as </w:t>
      </w:r>
      <w:r>
        <w:t xml:space="preserve">those for rates across </w:t>
      </w:r>
      <w:r w:rsidRPr="004C1AE3">
        <w:t>local government areas</w:t>
      </w:r>
      <w:r>
        <w:t xml:space="preserve">. </w:t>
      </w:r>
      <w:r w:rsidR="008C21CD">
        <w:t>T</w:t>
      </w:r>
      <w:r>
        <w:t xml:space="preserve">here is a need to ensure that concessions are provided to those most in need, and those who are eligible </w:t>
      </w:r>
      <w:r w:rsidR="008C21CD">
        <w:t xml:space="preserve">only </w:t>
      </w:r>
      <w:r>
        <w:t>access the concessions to which they are entitled.</w:t>
      </w:r>
      <w:r>
        <w:rPr>
          <w:rFonts w:asciiTheme="majorHAnsi" w:eastAsiaTheme="majorEastAsia" w:hAnsiTheme="majorHAnsi" w:cstheme="majorBidi"/>
          <w:b/>
          <w:color w:val="365F91" w:themeColor="accent1" w:themeShade="BF"/>
          <w:sz w:val="24"/>
          <w:szCs w:val="24"/>
        </w:rPr>
        <w:t xml:space="preserve"> </w:t>
      </w:r>
    </w:p>
    <w:p w14:paraId="3800C1F6" w14:textId="05EE1B2D" w:rsidR="000D18B4" w:rsidRDefault="000D18B4" w:rsidP="000D18B4">
      <w:r>
        <w:lastRenderedPageBreak/>
        <w:t xml:space="preserve">The recent </w:t>
      </w:r>
      <w:r w:rsidRPr="004C1AE3">
        <w:rPr>
          <w:i/>
        </w:rPr>
        <w:t xml:space="preserve">Inquiry into the adequacy of existing financial protections of Queensland’s seniors </w:t>
      </w:r>
      <w:r>
        <w:t xml:space="preserve">(the Parliamentary Inquiry) noted that financial literacy is increasingly recognised as a core life skill for modern society and </w:t>
      </w:r>
      <w:r w:rsidR="008C21CD">
        <w:t xml:space="preserve">vital for </w:t>
      </w:r>
      <w:r>
        <w:t xml:space="preserve">sustaining financial wellbeing in later life. The </w:t>
      </w:r>
      <w:r w:rsidR="008C21CD">
        <w:t xml:space="preserve">Parliamentary </w:t>
      </w:r>
      <w:r>
        <w:t>Inquiry noted that declining levels of financial capacity in older age converge with the need to make more significant decisions around retirement and arrangements for aged care.</w:t>
      </w:r>
      <w:r>
        <w:rPr>
          <w:rStyle w:val="FootnoteReference"/>
        </w:rPr>
        <w:footnoteReference w:id="36"/>
      </w:r>
      <w:r>
        <w:t xml:space="preserve">  </w:t>
      </w:r>
    </w:p>
    <w:p w14:paraId="449C2015" w14:textId="5395C9F8" w:rsidR="000D18B4" w:rsidRDefault="000D18B4" w:rsidP="000D18B4">
      <w:r>
        <w:t>A large body of research</w:t>
      </w:r>
      <w:r w:rsidR="008C21CD">
        <w:t xml:space="preserve"> has</w:t>
      </w:r>
      <w:r>
        <w:t xml:space="preserve"> identifie</w:t>
      </w:r>
      <w:r w:rsidR="008C21CD">
        <w:t>d</w:t>
      </w:r>
      <w:r>
        <w:t xml:space="preserve"> </w:t>
      </w:r>
      <w:r w:rsidR="008C21CD">
        <w:t xml:space="preserve">a </w:t>
      </w:r>
      <w:r>
        <w:t>correlation between financial literacy and better financial and household outcomes.</w:t>
      </w:r>
      <w:r>
        <w:rPr>
          <w:rStyle w:val="FootnoteReference"/>
        </w:rPr>
        <w:footnoteReference w:id="37"/>
      </w:r>
      <w:r>
        <w:t xml:space="preserve">  Those with low financial knowledge are less likely to plan for retirement and</w:t>
      </w:r>
      <w:r w:rsidR="008C21CD">
        <w:t>,</w:t>
      </w:r>
      <w:r>
        <w:t xml:space="preserve"> as a result</w:t>
      </w:r>
      <w:r w:rsidR="008C21CD">
        <w:t>,</w:t>
      </w:r>
      <w:r>
        <w:t xml:space="preserve"> accumulate less wealth.</w:t>
      </w:r>
      <w:r>
        <w:rPr>
          <w:rStyle w:val="FootnoteReference"/>
        </w:rPr>
        <w:footnoteReference w:id="38"/>
      </w:r>
      <w:r>
        <w:t xml:space="preserve">  When older people were asked what advice they would give younger people, a common answer </w:t>
      </w:r>
      <w:r w:rsidR="008C21CD">
        <w:t xml:space="preserve">was </w:t>
      </w:r>
      <w:r>
        <w:t>“to save more while you are young.”</w:t>
      </w:r>
      <w:r>
        <w:rPr>
          <w:rStyle w:val="FootnoteReference"/>
        </w:rPr>
        <w:footnoteReference w:id="39"/>
      </w:r>
      <w:r>
        <w:t xml:space="preserve"> </w:t>
      </w:r>
    </w:p>
    <w:p w14:paraId="51F210C8" w14:textId="218F13D6" w:rsidR="000D18B4" w:rsidRDefault="000D18B4" w:rsidP="000D18B4">
      <w:r>
        <w:t xml:space="preserve">The Parliamentary Inquiry noted that financial knowledge is not always a protective factor, </w:t>
      </w:r>
      <w:r w:rsidR="002D4B1E">
        <w:t xml:space="preserve">and </w:t>
      </w:r>
      <w:r>
        <w:t>a little knowledge could result in overconfidence and result</w:t>
      </w:r>
      <w:r w:rsidR="002D4B1E">
        <w:t xml:space="preserve"> </w:t>
      </w:r>
      <w:r>
        <w:t>in poor decision-making</w:t>
      </w:r>
      <w:r w:rsidR="002D4B1E">
        <w:t>. Therefore,</w:t>
      </w:r>
      <w:r>
        <w:t xml:space="preserve"> programs and supports must be well</w:t>
      </w:r>
      <w:r w:rsidR="002D4B1E">
        <w:t>-</w:t>
      </w:r>
      <w:r>
        <w:t>researched and evidence</w:t>
      </w:r>
      <w:r w:rsidR="002D4B1E">
        <w:t>-</w:t>
      </w:r>
      <w:r>
        <w:t>based to produce the desired outcomes.</w:t>
      </w:r>
    </w:p>
    <w:p w14:paraId="541FD822" w14:textId="21B52A18" w:rsidR="000D18B4" w:rsidRDefault="000D18B4" w:rsidP="000D18B4">
      <w:pPr>
        <w:contextualSpacing/>
      </w:pPr>
      <w:r>
        <w:t>The Financial Options Roundtable discussed the importance of individuals having the confidence and skills to manage their own finances and plan for their life course, including housing</w:t>
      </w:r>
      <w:r w:rsidR="002D4B1E">
        <w:t xml:space="preserve">. Further, </w:t>
      </w:r>
      <w:r>
        <w:t xml:space="preserve">this education should start at an early age. True financial literacy empowers individuals to make </w:t>
      </w:r>
      <w:r w:rsidR="00585838">
        <w:t xml:space="preserve">              </w:t>
      </w:r>
      <w:r>
        <w:t>well-informed choices for their financial well-being</w:t>
      </w:r>
      <w:r w:rsidR="002D4B1E">
        <w:t>.</w:t>
      </w:r>
      <w:r>
        <w:rPr>
          <w:rStyle w:val="FootnoteReference"/>
        </w:rPr>
        <w:footnoteReference w:id="40"/>
      </w:r>
    </w:p>
    <w:p w14:paraId="64B36A30" w14:textId="77777777" w:rsidR="000D18B4" w:rsidRDefault="000D18B4" w:rsidP="000D18B4">
      <w:pPr>
        <w:contextualSpacing/>
      </w:pPr>
    </w:p>
    <w:p w14:paraId="51FDAB79" w14:textId="67BD1BA6" w:rsidR="000D18B4" w:rsidRPr="004C1AE3" w:rsidRDefault="000D18B4" w:rsidP="000D18B4">
      <w:pPr>
        <w:pStyle w:val="Heading2"/>
      </w:pPr>
      <w:bookmarkStart w:id="586" w:name="_Toc460257504"/>
      <w:r>
        <w:t xml:space="preserve">Financial </w:t>
      </w:r>
      <w:r w:rsidR="00585838">
        <w:t>disincentives</w:t>
      </w:r>
      <w:r>
        <w:t xml:space="preserve"> to transitioning</w:t>
      </w:r>
      <w:bookmarkEnd w:id="586"/>
    </w:p>
    <w:tbl>
      <w:tblPr>
        <w:tblStyle w:val="TableGrid"/>
        <w:tblW w:w="0" w:type="auto"/>
        <w:tblLook w:val="04A0" w:firstRow="1" w:lastRow="0" w:firstColumn="1" w:lastColumn="0" w:noHBand="0" w:noVBand="1"/>
      </w:tblPr>
      <w:tblGrid>
        <w:gridCol w:w="9322"/>
      </w:tblGrid>
      <w:tr w:rsidR="000D18B4" w14:paraId="7F15372D" w14:textId="77777777" w:rsidTr="00BA3344">
        <w:tc>
          <w:tcPr>
            <w:tcW w:w="9548" w:type="dxa"/>
          </w:tcPr>
          <w:p w14:paraId="0BA81A5A" w14:textId="77777777" w:rsidR="000D18B4" w:rsidRDefault="000D18B4" w:rsidP="00BA3344">
            <w:pPr>
              <w:pStyle w:val="Boxheading"/>
            </w:pPr>
            <w:r>
              <w:t xml:space="preserve">Issues </w:t>
            </w:r>
          </w:p>
          <w:p w14:paraId="4B07968F" w14:textId="5EE06186" w:rsidR="000D18B4" w:rsidRDefault="000D18B4" w:rsidP="0005526D">
            <w:pPr>
              <w:pStyle w:val="ListParagraph"/>
              <w:numPr>
                <w:ilvl w:val="0"/>
                <w:numId w:val="7"/>
              </w:numPr>
              <w:spacing w:after="0" w:line="240" w:lineRule="auto"/>
            </w:pPr>
            <w:r>
              <w:t>There are several</w:t>
            </w:r>
            <w:r w:rsidR="007769BD">
              <w:t xml:space="preserve"> barriers or</w:t>
            </w:r>
            <w:r>
              <w:t xml:space="preserve"> disincentives to downsizing</w:t>
            </w:r>
            <w:r w:rsidR="00F07353">
              <w:t xml:space="preserve"> or right-sizing</w:t>
            </w:r>
            <w:r>
              <w:t>, such as the costs associated with buying and selling, including stamp duties and moving</w:t>
            </w:r>
            <w:r w:rsidR="00585838">
              <w:t xml:space="preserve"> costs</w:t>
            </w:r>
            <w:r>
              <w:t xml:space="preserve">. These costs and the overall stress of moving house may deter people from seeking alternative housing options. As a result, older people may choose to stay in unsuitable housing rather than incur such costs and </w:t>
            </w:r>
            <w:r w:rsidR="008057D1">
              <w:t xml:space="preserve">associated </w:t>
            </w:r>
            <w:r>
              <w:t>stress</w:t>
            </w:r>
            <w:r w:rsidR="008057D1">
              <w:t>.</w:t>
            </w:r>
          </w:p>
          <w:p w14:paraId="7D27B7B3" w14:textId="7C008D3E" w:rsidR="000D18B4" w:rsidRDefault="000D18B4" w:rsidP="0005526D">
            <w:pPr>
              <w:pStyle w:val="ListParagraph"/>
              <w:numPr>
                <w:ilvl w:val="0"/>
                <w:numId w:val="7"/>
              </w:numPr>
              <w:spacing w:before="60" w:after="60" w:line="240" w:lineRule="auto"/>
              <w:rPr>
                <w:rFonts w:cs="Arial"/>
              </w:rPr>
            </w:pPr>
            <w:r>
              <w:rPr>
                <w:rFonts w:cs="Arial"/>
              </w:rPr>
              <w:t>The assets means test on the age pension can be a prohibitive factor for older people wanting to sell their home and move to different accommodation</w:t>
            </w:r>
            <w:r w:rsidR="008057D1">
              <w:rPr>
                <w:rFonts w:cs="Arial"/>
              </w:rPr>
              <w:t>.</w:t>
            </w:r>
          </w:p>
          <w:p w14:paraId="77BF405D" w14:textId="77777777" w:rsidR="000D18B4" w:rsidRDefault="000D18B4" w:rsidP="00BA3344">
            <w:pPr>
              <w:pStyle w:val="ListParagraph"/>
              <w:spacing w:after="0" w:line="240" w:lineRule="auto"/>
              <w:rPr>
                <w:rFonts w:asciiTheme="majorHAnsi" w:eastAsiaTheme="majorEastAsia" w:hAnsiTheme="majorHAnsi" w:cstheme="majorBidi"/>
                <w:b/>
                <w:sz w:val="26"/>
                <w:szCs w:val="26"/>
              </w:rPr>
            </w:pPr>
          </w:p>
        </w:tc>
      </w:tr>
    </w:tbl>
    <w:p w14:paraId="6BF2C23D" w14:textId="77777777" w:rsidR="000D18B4" w:rsidRDefault="000D18B4" w:rsidP="000D18B4">
      <w:pPr>
        <w:contextualSpacing/>
        <w:rPr>
          <w:b/>
          <w:color w:val="4BACC6" w:themeColor="accent5"/>
        </w:rPr>
      </w:pPr>
    </w:p>
    <w:p w14:paraId="5B1298F7" w14:textId="64D7C6D5" w:rsidR="000D18B4" w:rsidRDefault="000D18B4" w:rsidP="000D18B4">
      <w:r>
        <w:t xml:space="preserve">Ageing in place for many people means </w:t>
      </w:r>
      <w:r w:rsidRPr="0075125D">
        <w:t xml:space="preserve">remaining in their </w:t>
      </w:r>
      <w:r>
        <w:t xml:space="preserve">family </w:t>
      </w:r>
      <w:r w:rsidRPr="0075125D">
        <w:t>home</w:t>
      </w:r>
      <w:r>
        <w:t>, but f</w:t>
      </w:r>
      <w:r w:rsidRPr="0075125D">
        <w:t>or others this may mean moving</w:t>
      </w:r>
      <w:r>
        <w:t xml:space="preserve"> to</w:t>
      </w:r>
      <w:r w:rsidRPr="0075125D">
        <w:t xml:space="preserve"> </w:t>
      </w:r>
      <w:r>
        <w:t xml:space="preserve">another </w:t>
      </w:r>
      <w:r w:rsidRPr="0075125D">
        <w:t xml:space="preserve">house </w:t>
      </w:r>
      <w:r>
        <w:t xml:space="preserve">within their </w:t>
      </w:r>
      <w:r w:rsidRPr="0075125D">
        <w:t xml:space="preserve">local community. </w:t>
      </w:r>
      <w:r>
        <w:t xml:space="preserve">If the mortgage </w:t>
      </w:r>
      <w:r w:rsidR="008057D1">
        <w:t xml:space="preserve">on a family home </w:t>
      </w:r>
      <w:r>
        <w:t>is paid off</w:t>
      </w:r>
      <w:r w:rsidR="008057D1">
        <w:t>,</w:t>
      </w:r>
      <w:r>
        <w:t xml:space="preserve"> </w:t>
      </w:r>
      <w:r w:rsidRPr="0075125D">
        <w:t xml:space="preserve">there are few financial </w:t>
      </w:r>
      <w:r>
        <w:t xml:space="preserve">reasons </w:t>
      </w:r>
      <w:r w:rsidR="00EB3F96">
        <w:t xml:space="preserve">(and </w:t>
      </w:r>
      <w:r w:rsidR="00EB3F96" w:rsidRPr="0075125D">
        <w:t>potentially financial disincentives</w:t>
      </w:r>
      <w:r w:rsidR="00EB3F96">
        <w:t>)</w:t>
      </w:r>
      <w:r w:rsidR="00EB3F96" w:rsidRPr="0075125D">
        <w:t xml:space="preserve"> </w:t>
      </w:r>
      <w:r>
        <w:t>for an older person to move</w:t>
      </w:r>
      <w:r w:rsidRPr="0075125D">
        <w:t>.</w:t>
      </w:r>
    </w:p>
    <w:p w14:paraId="738330D7" w14:textId="10DF092F" w:rsidR="000D18B4" w:rsidRDefault="000D18B4" w:rsidP="000D18B4">
      <w:r>
        <w:t xml:space="preserve">Community consultation </w:t>
      </w:r>
      <w:r w:rsidR="00585838">
        <w:t xml:space="preserve">confirmed </w:t>
      </w:r>
      <w:r>
        <w:t>research by a number of organisations</w:t>
      </w:r>
      <w:r w:rsidR="007F3044">
        <w:t xml:space="preserve">, such as the </w:t>
      </w:r>
      <w:r>
        <w:t>Australian Housing and Research Institute</w:t>
      </w:r>
      <w:r w:rsidR="00585838">
        <w:t xml:space="preserve"> (AHURI)</w:t>
      </w:r>
      <w:r>
        <w:t xml:space="preserve"> and the Productivity Commission</w:t>
      </w:r>
      <w:r w:rsidR="007F3044">
        <w:t>,</w:t>
      </w:r>
      <w:r>
        <w:t xml:space="preserve"> that</w:t>
      </w:r>
      <w:r w:rsidR="00585838">
        <w:t xml:space="preserve"> reported that</w:t>
      </w:r>
      <w:r>
        <w:t xml:space="preserve"> older people </w:t>
      </w:r>
      <w:r w:rsidR="00EB3F96">
        <w:t>face</w:t>
      </w:r>
      <w:r w:rsidRPr="0075125D">
        <w:t xml:space="preserve"> </w:t>
      </w:r>
      <w:r>
        <w:t xml:space="preserve">significant </w:t>
      </w:r>
      <w:r w:rsidRPr="0075125D">
        <w:t>disincentives to downsizing</w:t>
      </w:r>
      <w:r>
        <w:t xml:space="preserve"> or moving to alternative accommodation.</w:t>
      </w:r>
      <w:r>
        <w:rPr>
          <w:rStyle w:val="FootnoteReference"/>
        </w:rPr>
        <w:footnoteReference w:id="41"/>
      </w:r>
      <w:r>
        <w:t xml:space="preserve"> </w:t>
      </w:r>
      <w:r>
        <w:rPr>
          <w:rStyle w:val="FootnoteReference"/>
        </w:rPr>
        <w:footnoteReference w:id="42"/>
      </w:r>
      <w:r w:rsidRPr="0075125D">
        <w:t xml:space="preserve"> Chief among these are</w:t>
      </w:r>
      <w:r>
        <w:t>:</w:t>
      </w:r>
    </w:p>
    <w:p w14:paraId="0AF5A4A4" w14:textId="6E8BA812" w:rsidR="000D18B4" w:rsidRDefault="000D18B4" w:rsidP="004363AF">
      <w:pPr>
        <w:pStyle w:val="ListParagraph"/>
        <w:numPr>
          <w:ilvl w:val="0"/>
          <w:numId w:val="19"/>
        </w:numPr>
      </w:pPr>
      <w:r w:rsidRPr="0075125D">
        <w:lastRenderedPageBreak/>
        <w:t>financial costs of buying and selling</w:t>
      </w:r>
    </w:p>
    <w:p w14:paraId="0CB9D6DD" w14:textId="7FDE8076" w:rsidR="000D18B4" w:rsidRDefault="000D18B4" w:rsidP="004363AF">
      <w:pPr>
        <w:pStyle w:val="ListParagraph"/>
        <w:numPr>
          <w:ilvl w:val="0"/>
          <w:numId w:val="19"/>
        </w:numPr>
      </w:pPr>
      <w:r w:rsidRPr="0075125D">
        <w:t>difficulty and stress of moving house</w:t>
      </w:r>
    </w:p>
    <w:p w14:paraId="50748100" w14:textId="2C59232F" w:rsidR="000D18B4" w:rsidRDefault="000D18B4" w:rsidP="004363AF">
      <w:pPr>
        <w:pStyle w:val="ListParagraph"/>
        <w:numPr>
          <w:ilvl w:val="0"/>
          <w:numId w:val="19"/>
        </w:numPr>
      </w:pPr>
      <w:r w:rsidRPr="0075125D">
        <w:t>reduction in eligibility for the age pension and its associated benefits.</w:t>
      </w:r>
    </w:p>
    <w:p w14:paraId="44C9E785" w14:textId="07427DA4" w:rsidR="000D18B4" w:rsidRDefault="000D18B4" w:rsidP="000D18B4">
      <w:r w:rsidRPr="00664A7D">
        <w:t xml:space="preserve">Stamp duty is the tax levied by all Australian territories and states, including Queensland, on property purchases. The stamp duty a buyer pays is based on the property purchase price, location and loan purpose. </w:t>
      </w:r>
      <w:r w:rsidR="00F07353">
        <w:t>Stamp duty is</w:t>
      </w:r>
      <w:r w:rsidR="00F07353" w:rsidRPr="00664A7D">
        <w:t xml:space="preserve"> a key revenue source for the state government</w:t>
      </w:r>
      <w:r w:rsidR="00F07353">
        <w:t>.</w:t>
      </w:r>
      <w:r w:rsidR="003D6CCA">
        <w:t xml:space="preserve">  </w:t>
      </w:r>
      <w:r>
        <w:t>T</w:t>
      </w:r>
      <w:r w:rsidRPr="00664A7D">
        <w:t>he property industry has consistently called for reductions in stamp duty</w:t>
      </w:r>
      <w:r>
        <w:t xml:space="preserve"> and</w:t>
      </w:r>
      <w:r w:rsidRPr="00664A7D">
        <w:t xml:space="preserve"> </w:t>
      </w:r>
      <w:r>
        <w:t xml:space="preserve">both the Productivity Commission and </w:t>
      </w:r>
      <w:r w:rsidR="00061DA3">
        <w:t>Australian Council of Social Service (</w:t>
      </w:r>
      <w:r w:rsidRPr="00664A7D">
        <w:t>ACOSS</w:t>
      </w:r>
      <w:r w:rsidR="00061DA3">
        <w:t>)</w:t>
      </w:r>
      <w:r w:rsidRPr="00664A7D">
        <w:t xml:space="preserve"> </w:t>
      </w:r>
      <w:r w:rsidR="00EB3F96">
        <w:t xml:space="preserve">advise </w:t>
      </w:r>
      <w:r>
        <w:t>that stamp dut</w:t>
      </w:r>
      <w:r w:rsidR="00EB3F96">
        <w:t>y is</w:t>
      </w:r>
      <w:r>
        <w:t xml:space="preserve"> an inefficient tax on housing mobility</w:t>
      </w:r>
      <w:r w:rsidR="00EB3F96">
        <w:t>. M</w:t>
      </w:r>
      <w:r>
        <w:t xml:space="preserve">any reviews </w:t>
      </w:r>
      <w:r w:rsidR="00EB3F96">
        <w:t xml:space="preserve">have </w:t>
      </w:r>
      <w:r>
        <w:t>recommend</w:t>
      </w:r>
      <w:r w:rsidR="00EB3F96">
        <w:t>ed its</w:t>
      </w:r>
      <w:r>
        <w:t xml:space="preserve"> abolition.  ACOSS states “…..</w:t>
      </w:r>
      <w:r w:rsidRPr="00664A7D">
        <w:t>they discourage older people from downsizing after retirement and make it harder for workers to take up jobs in other locations.”</w:t>
      </w:r>
      <w:r w:rsidRPr="00664A7D">
        <w:rPr>
          <w:rStyle w:val="FootnoteReference"/>
        </w:rPr>
        <w:footnoteReference w:id="43"/>
      </w:r>
      <w:r>
        <w:t xml:space="preserve"> </w:t>
      </w:r>
      <w:r>
        <w:rPr>
          <w:rStyle w:val="FootnoteReference"/>
        </w:rPr>
        <w:footnoteReference w:id="44"/>
      </w:r>
    </w:p>
    <w:p w14:paraId="3D6F6635" w14:textId="47380555" w:rsidR="000D18B4" w:rsidRPr="00C661B3" w:rsidRDefault="000D18B4" w:rsidP="000D18B4">
      <w:r w:rsidRPr="00C661B3">
        <w:t>Many older Queenslanders who live in their own homes</w:t>
      </w:r>
      <w:r w:rsidR="00EB3F96">
        <w:t>,</w:t>
      </w:r>
      <w:r w:rsidRPr="00C661B3">
        <w:t xml:space="preserve"> but have </w:t>
      </w:r>
      <w:r w:rsidR="00EB3F96">
        <w:t>few</w:t>
      </w:r>
      <w:r w:rsidRPr="00C661B3">
        <w:t xml:space="preserve"> other assets or income sources</w:t>
      </w:r>
      <w:r w:rsidR="00EB3F96">
        <w:t>,</w:t>
      </w:r>
      <w:r w:rsidRPr="00C661B3">
        <w:t xml:space="preserve"> </w:t>
      </w:r>
      <w:r w:rsidR="00EB3F96">
        <w:t xml:space="preserve">may </w:t>
      </w:r>
      <w:r w:rsidRPr="00C661B3">
        <w:t>have housing security, but low fixed incomes. Others own their own home and are able to draw upon superannuation funds or other assets to provide them with sufficient income to fund a comfortable, leisure</w:t>
      </w:r>
      <w:r w:rsidR="00EB3F96">
        <w:t>-</w:t>
      </w:r>
      <w:r w:rsidRPr="00C661B3">
        <w:t>oriented retirement.</w:t>
      </w:r>
    </w:p>
    <w:p w14:paraId="75B0C3F6" w14:textId="4CBEFC62" w:rsidR="000D18B4" w:rsidRPr="00C661B3" w:rsidRDefault="000D18B4" w:rsidP="000D18B4">
      <w:r w:rsidRPr="00C661B3">
        <w:t xml:space="preserve">The value of the family home is exempt from assessments of eligibility for the age pension. This is consistent with the value placed on ownership of the family home in Australian culture. </w:t>
      </w:r>
      <w:r w:rsidR="00EB3F96">
        <w:t>Traditionally,</w:t>
      </w:r>
      <w:r w:rsidRPr="00C661B3">
        <w:t xml:space="preserve"> governments </w:t>
      </w:r>
      <w:r w:rsidR="00EB3F96">
        <w:t xml:space="preserve">have been reluctant </w:t>
      </w:r>
      <w:r w:rsidRPr="00C661B3">
        <w:t>to be seen to be ‘taxing the family home’ or in any way penalising home ownership. This provides a significant disincentive to selling the family home and purchasing a smaller</w:t>
      </w:r>
      <w:r>
        <w:t xml:space="preserve"> or different</w:t>
      </w:r>
      <w:r w:rsidRPr="00C661B3">
        <w:t xml:space="preserve"> one, because any </w:t>
      </w:r>
      <w:r w:rsidR="00EB3F96">
        <w:t>‘profit’ on the transaction is</w:t>
      </w:r>
      <w:r w:rsidRPr="00C661B3">
        <w:t xml:space="preserve"> treated as an assessable asset </w:t>
      </w:r>
      <w:r w:rsidR="00EB3F96">
        <w:t>for</w:t>
      </w:r>
      <w:r w:rsidRPr="00C661B3">
        <w:t xml:space="preserve"> the age pension</w:t>
      </w:r>
      <w:r w:rsidR="00EB3F96">
        <w:t>. It</w:t>
      </w:r>
      <w:r w:rsidR="00787482">
        <w:t xml:space="preserve"> may result</w:t>
      </w:r>
      <w:r w:rsidRPr="00C661B3">
        <w:t xml:space="preserve"> in a reduction in the amount of pension received. Also, older people may feel they are spending their children’s inheritance this way, whereas the entire value of the original family home will be maintained if they choose not to sell.</w:t>
      </w:r>
    </w:p>
    <w:p w14:paraId="195AA3DD" w14:textId="1E14AF70" w:rsidR="000D18B4" w:rsidRPr="00C661B3" w:rsidRDefault="000D18B4" w:rsidP="000D18B4">
      <w:pPr>
        <w:rPr>
          <w:sz w:val="23"/>
          <w:szCs w:val="23"/>
        </w:rPr>
      </w:pPr>
      <w:r w:rsidRPr="00C661B3">
        <w:t xml:space="preserve">In their submission to the Senate Economics Reference Committee Inquiry into Housing Affordability, AHURI noted that exemption of the family home from age pension assessments potentially </w:t>
      </w:r>
      <w:r w:rsidRPr="00215E10">
        <w:t xml:space="preserve">undermines incentives to downsize or sell the </w:t>
      </w:r>
      <w:r w:rsidR="00787482">
        <w:t xml:space="preserve">family </w:t>
      </w:r>
      <w:r w:rsidRPr="00215E10">
        <w:t xml:space="preserve">house if </w:t>
      </w:r>
      <w:r w:rsidR="00787482">
        <w:t>it</w:t>
      </w:r>
      <w:r w:rsidRPr="00215E10">
        <w:t xml:space="preserve"> reduce</w:t>
      </w:r>
      <w:r w:rsidR="00787482">
        <w:t>s</w:t>
      </w:r>
      <w:r w:rsidRPr="00215E10">
        <w:t xml:space="preserve"> pension entitlements</w:t>
      </w:r>
      <w:r w:rsidR="00787482">
        <w:t>. AHURI advised that r</w:t>
      </w:r>
      <w:r w:rsidRPr="00215E10">
        <w:t>esearch had shown that older people tend to occupy larger houses than suggested by their household size</w:t>
      </w:r>
      <w:r w:rsidR="00787482">
        <w:t>,</w:t>
      </w:r>
      <w:r w:rsidRPr="00215E10">
        <w:t xml:space="preserve"> </w:t>
      </w:r>
      <w:r>
        <w:t>indicating</w:t>
      </w:r>
      <w:r w:rsidRPr="00215E10">
        <w:t xml:space="preserve"> some inefficiency according to typical standards of occupancy. It noted that downsizing </w:t>
      </w:r>
      <w:r w:rsidR="00787482" w:rsidRPr="00215E10">
        <w:t>as people</w:t>
      </w:r>
      <w:r w:rsidR="00787482" w:rsidRPr="00C661B3">
        <w:rPr>
          <w:sz w:val="23"/>
          <w:szCs w:val="23"/>
        </w:rPr>
        <w:t xml:space="preserve"> </w:t>
      </w:r>
      <w:r w:rsidR="00787482" w:rsidRPr="00215E10">
        <w:t xml:space="preserve">age </w:t>
      </w:r>
      <w:r w:rsidRPr="00215E10">
        <w:t xml:space="preserve">may also have benefits in better </w:t>
      </w:r>
      <w:r w:rsidR="00787482">
        <w:t xml:space="preserve">aligning housing resources to </w:t>
      </w:r>
      <w:r w:rsidRPr="00215E10">
        <w:t>needs and releasing equity</w:t>
      </w:r>
      <w:r w:rsidRPr="00C661B3">
        <w:rPr>
          <w:sz w:val="23"/>
          <w:szCs w:val="23"/>
        </w:rPr>
        <w:t>.</w:t>
      </w:r>
      <w:r w:rsidRPr="00C661B3">
        <w:rPr>
          <w:rStyle w:val="FootnoteReference"/>
          <w:sz w:val="23"/>
          <w:szCs w:val="23"/>
        </w:rPr>
        <w:footnoteReference w:id="45"/>
      </w:r>
      <w:r>
        <w:rPr>
          <w:sz w:val="23"/>
          <w:szCs w:val="23"/>
        </w:rPr>
        <w:t xml:space="preserve"> </w:t>
      </w:r>
    </w:p>
    <w:p w14:paraId="454D138D" w14:textId="4960210F" w:rsidR="000D18B4" w:rsidRDefault="00787482" w:rsidP="000D18B4">
      <w:pPr>
        <w:rPr>
          <w:rFonts w:asciiTheme="majorHAnsi" w:eastAsiaTheme="majorEastAsia" w:hAnsiTheme="majorHAnsi" w:cstheme="majorBidi"/>
          <w:color w:val="365F91" w:themeColor="accent1" w:themeShade="BF"/>
          <w:sz w:val="26"/>
          <w:szCs w:val="26"/>
        </w:rPr>
      </w:pPr>
      <w:r>
        <w:t>P</w:t>
      </w:r>
      <w:r w:rsidR="000D18B4" w:rsidRPr="00215E10">
        <w:t xml:space="preserve">ension policy </w:t>
      </w:r>
      <w:r w:rsidR="007F3044">
        <w:t xml:space="preserve">is the responsibility of </w:t>
      </w:r>
      <w:r w:rsidR="000D18B4" w:rsidRPr="00215E10">
        <w:t xml:space="preserve">the Australian Government. There will continue to be difficulties in removing </w:t>
      </w:r>
      <w:r w:rsidR="00061DA3">
        <w:t>barriers</w:t>
      </w:r>
      <w:r w:rsidR="000D18B4" w:rsidRPr="00215E10">
        <w:t xml:space="preserve"> to downsizing while the policy levers sit at different levels of government and there is no unified </w:t>
      </w:r>
      <w:r w:rsidR="007F3044">
        <w:t>approach</w:t>
      </w:r>
      <w:r w:rsidR="000D18B4" w:rsidRPr="00215E10">
        <w:t xml:space="preserve"> </w:t>
      </w:r>
      <w:r>
        <w:t>to</w:t>
      </w:r>
      <w:r w:rsidRPr="00215E10">
        <w:t xml:space="preserve"> </w:t>
      </w:r>
      <w:r w:rsidR="000D18B4" w:rsidRPr="00215E10">
        <w:t>address these issues.</w:t>
      </w:r>
      <w:r w:rsidR="000D18B4" w:rsidRPr="00617952">
        <w:rPr>
          <w:rFonts w:asciiTheme="majorHAnsi" w:eastAsiaTheme="majorEastAsia" w:hAnsiTheme="majorHAnsi" w:cstheme="majorBidi"/>
          <w:color w:val="365F91" w:themeColor="accent1" w:themeShade="BF"/>
          <w:sz w:val="26"/>
          <w:szCs w:val="26"/>
        </w:rPr>
        <w:t xml:space="preserve"> </w:t>
      </w:r>
    </w:p>
    <w:p w14:paraId="30ED985E" w14:textId="77777777" w:rsidR="00787482" w:rsidRPr="00617952" w:rsidRDefault="00787482" w:rsidP="000D18B4">
      <w:pPr>
        <w:rPr>
          <w:rFonts w:asciiTheme="majorHAnsi" w:eastAsiaTheme="majorEastAsia" w:hAnsiTheme="majorHAnsi" w:cstheme="majorBidi"/>
          <w:color w:val="365F91" w:themeColor="accent1" w:themeShade="BF"/>
          <w:sz w:val="26"/>
          <w:szCs w:val="26"/>
        </w:rPr>
      </w:pPr>
    </w:p>
    <w:p w14:paraId="38F3DFE4" w14:textId="24F76CA2" w:rsidR="000D18B4" w:rsidRDefault="000D18B4" w:rsidP="000D18B4">
      <w:pPr>
        <w:pStyle w:val="Heading2"/>
      </w:pPr>
      <w:bookmarkStart w:id="587" w:name="_Toc457506565"/>
      <w:bookmarkStart w:id="588" w:name="_Toc457512593"/>
      <w:bookmarkStart w:id="589" w:name="_Toc457242438"/>
      <w:bookmarkStart w:id="590" w:name="_Toc457242821"/>
      <w:bookmarkStart w:id="591" w:name="_Toc457243204"/>
      <w:bookmarkStart w:id="592" w:name="_Toc457243583"/>
      <w:bookmarkStart w:id="593" w:name="_Toc457243959"/>
      <w:bookmarkStart w:id="594" w:name="_Toc457244341"/>
      <w:bookmarkStart w:id="595" w:name="_Toc457244718"/>
      <w:bookmarkStart w:id="596" w:name="_Toc457245094"/>
      <w:bookmarkStart w:id="597" w:name="_Toc457245466"/>
      <w:bookmarkStart w:id="598" w:name="_Toc457245836"/>
      <w:bookmarkStart w:id="599" w:name="_Toc457246179"/>
      <w:bookmarkStart w:id="600" w:name="_Toc457246518"/>
      <w:bookmarkStart w:id="601" w:name="_Toc457288973"/>
      <w:bookmarkStart w:id="602" w:name="_Toc457290796"/>
      <w:bookmarkStart w:id="603" w:name="_Toc457399168"/>
      <w:bookmarkStart w:id="604" w:name="_Toc457458907"/>
      <w:bookmarkStart w:id="605" w:name="_Toc457468197"/>
      <w:bookmarkStart w:id="606" w:name="_Toc457483233"/>
      <w:bookmarkStart w:id="607" w:name="_Toc457483629"/>
      <w:bookmarkStart w:id="608" w:name="_Toc457506567"/>
      <w:bookmarkStart w:id="609" w:name="_Toc457512595"/>
      <w:bookmarkStart w:id="610" w:name="_Toc457242445"/>
      <w:bookmarkStart w:id="611" w:name="_Toc457242828"/>
      <w:bookmarkStart w:id="612" w:name="_Toc457243211"/>
      <w:bookmarkStart w:id="613" w:name="_Toc457243590"/>
      <w:bookmarkStart w:id="614" w:name="_Toc457243966"/>
      <w:bookmarkStart w:id="615" w:name="_Toc457244348"/>
      <w:bookmarkStart w:id="616" w:name="_Toc457244725"/>
      <w:bookmarkStart w:id="617" w:name="_Toc457245101"/>
      <w:bookmarkStart w:id="618" w:name="_Toc457245473"/>
      <w:bookmarkStart w:id="619" w:name="_Toc457245843"/>
      <w:bookmarkStart w:id="620" w:name="_Toc457246184"/>
      <w:bookmarkStart w:id="621" w:name="_Toc457246523"/>
      <w:bookmarkStart w:id="622" w:name="_Toc457288978"/>
      <w:bookmarkStart w:id="623" w:name="_Toc457290801"/>
      <w:bookmarkStart w:id="624" w:name="_Toc457399173"/>
      <w:bookmarkStart w:id="625" w:name="_Toc457458912"/>
      <w:bookmarkStart w:id="626" w:name="_Toc457468202"/>
      <w:bookmarkStart w:id="627" w:name="_Toc457483238"/>
      <w:bookmarkStart w:id="628" w:name="_Toc457483634"/>
      <w:bookmarkStart w:id="629" w:name="_Toc457506572"/>
      <w:bookmarkStart w:id="630" w:name="_Toc457512600"/>
      <w:bookmarkStart w:id="631" w:name="_Toc457242446"/>
      <w:bookmarkStart w:id="632" w:name="_Toc457242829"/>
      <w:bookmarkStart w:id="633" w:name="_Toc457243212"/>
      <w:bookmarkStart w:id="634" w:name="_Toc457243591"/>
      <w:bookmarkStart w:id="635" w:name="_Toc457243967"/>
      <w:bookmarkStart w:id="636" w:name="_Toc457244349"/>
      <w:bookmarkStart w:id="637" w:name="_Toc457244726"/>
      <w:bookmarkStart w:id="638" w:name="_Toc457245102"/>
      <w:bookmarkStart w:id="639" w:name="_Toc457245474"/>
      <w:bookmarkStart w:id="640" w:name="_Toc457245844"/>
      <w:bookmarkStart w:id="641" w:name="_Toc457246185"/>
      <w:bookmarkStart w:id="642" w:name="_Toc457246524"/>
      <w:bookmarkStart w:id="643" w:name="_Toc457288979"/>
      <w:bookmarkStart w:id="644" w:name="_Toc457290802"/>
      <w:bookmarkStart w:id="645" w:name="_Toc457399174"/>
      <w:bookmarkStart w:id="646" w:name="_Toc457458913"/>
      <w:bookmarkStart w:id="647" w:name="_Toc457468203"/>
      <w:bookmarkStart w:id="648" w:name="_Toc457483239"/>
      <w:bookmarkStart w:id="649" w:name="_Toc457483635"/>
      <w:bookmarkStart w:id="650" w:name="_Toc457506573"/>
      <w:bookmarkStart w:id="651" w:name="_Toc457512601"/>
      <w:bookmarkStart w:id="652" w:name="_Toc457242447"/>
      <w:bookmarkStart w:id="653" w:name="_Toc457242830"/>
      <w:bookmarkStart w:id="654" w:name="_Toc457243213"/>
      <w:bookmarkStart w:id="655" w:name="_Toc457243592"/>
      <w:bookmarkStart w:id="656" w:name="_Toc457243968"/>
      <w:bookmarkStart w:id="657" w:name="_Toc457244350"/>
      <w:bookmarkStart w:id="658" w:name="_Toc457244727"/>
      <w:bookmarkStart w:id="659" w:name="_Toc457245103"/>
      <w:bookmarkStart w:id="660" w:name="_Toc457245475"/>
      <w:bookmarkStart w:id="661" w:name="_Toc457245845"/>
      <w:bookmarkStart w:id="662" w:name="_Toc457246186"/>
      <w:bookmarkStart w:id="663" w:name="_Toc457246525"/>
      <w:bookmarkStart w:id="664" w:name="_Toc457288980"/>
      <w:bookmarkStart w:id="665" w:name="_Toc457290803"/>
      <w:bookmarkStart w:id="666" w:name="_Toc457399175"/>
      <w:bookmarkStart w:id="667" w:name="_Toc457458914"/>
      <w:bookmarkStart w:id="668" w:name="_Toc457468204"/>
      <w:bookmarkStart w:id="669" w:name="_Toc457483240"/>
      <w:bookmarkStart w:id="670" w:name="_Toc457483636"/>
      <w:bookmarkStart w:id="671" w:name="_Toc457506574"/>
      <w:bookmarkStart w:id="672" w:name="_Toc457512602"/>
      <w:bookmarkStart w:id="673" w:name="_Toc457242448"/>
      <w:bookmarkStart w:id="674" w:name="_Toc457242831"/>
      <w:bookmarkStart w:id="675" w:name="_Toc457243214"/>
      <w:bookmarkStart w:id="676" w:name="_Toc457243593"/>
      <w:bookmarkStart w:id="677" w:name="_Toc457243969"/>
      <w:bookmarkStart w:id="678" w:name="_Toc457244351"/>
      <w:bookmarkStart w:id="679" w:name="_Toc457244728"/>
      <w:bookmarkStart w:id="680" w:name="_Toc457245104"/>
      <w:bookmarkStart w:id="681" w:name="_Toc457245476"/>
      <w:bookmarkStart w:id="682" w:name="_Toc457245846"/>
      <w:bookmarkStart w:id="683" w:name="_Toc457246187"/>
      <w:bookmarkStart w:id="684" w:name="_Toc457246526"/>
      <w:bookmarkStart w:id="685" w:name="_Toc457288981"/>
      <w:bookmarkStart w:id="686" w:name="_Toc457290804"/>
      <w:bookmarkStart w:id="687" w:name="_Toc457399176"/>
      <w:bookmarkStart w:id="688" w:name="_Toc457458915"/>
      <w:bookmarkStart w:id="689" w:name="_Toc457468205"/>
      <w:bookmarkStart w:id="690" w:name="_Toc457483241"/>
      <w:bookmarkStart w:id="691" w:name="_Toc457483637"/>
      <w:bookmarkStart w:id="692" w:name="_Toc457506575"/>
      <w:bookmarkStart w:id="693" w:name="_Toc457512603"/>
      <w:bookmarkStart w:id="694" w:name="_Toc457242449"/>
      <w:bookmarkStart w:id="695" w:name="_Toc457242832"/>
      <w:bookmarkStart w:id="696" w:name="_Toc457243215"/>
      <w:bookmarkStart w:id="697" w:name="_Toc457243594"/>
      <w:bookmarkStart w:id="698" w:name="_Toc457243970"/>
      <w:bookmarkStart w:id="699" w:name="_Toc457244352"/>
      <w:bookmarkStart w:id="700" w:name="_Toc457244729"/>
      <w:bookmarkStart w:id="701" w:name="_Toc457245105"/>
      <w:bookmarkStart w:id="702" w:name="_Toc457245477"/>
      <w:bookmarkStart w:id="703" w:name="_Toc457245847"/>
      <w:bookmarkStart w:id="704" w:name="_Toc457246188"/>
      <w:bookmarkStart w:id="705" w:name="_Toc457246527"/>
      <w:bookmarkStart w:id="706" w:name="_Toc457288982"/>
      <w:bookmarkStart w:id="707" w:name="_Toc457290805"/>
      <w:bookmarkStart w:id="708" w:name="_Toc457399177"/>
      <w:bookmarkStart w:id="709" w:name="_Toc457458916"/>
      <w:bookmarkStart w:id="710" w:name="_Toc457468206"/>
      <w:bookmarkStart w:id="711" w:name="_Toc457483242"/>
      <w:bookmarkStart w:id="712" w:name="_Toc457483638"/>
      <w:bookmarkStart w:id="713" w:name="_Toc457506576"/>
      <w:bookmarkStart w:id="714" w:name="_Toc457512604"/>
      <w:bookmarkStart w:id="715" w:name="_Toc457242450"/>
      <w:bookmarkStart w:id="716" w:name="_Toc457242833"/>
      <w:bookmarkStart w:id="717" w:name="_Toc457243216"/>
      <w:bookmarkStart w:id="718" w:name="_Toc457243595"/>
      <w:bookmarkStart w:id="719" w:name="_Toc457243971"/>
      <w:bookmarkStart w:id="720" w:name="_Toc457244353"/>
      <w:bookmarkStart w:id="721" w:name="_Toc457244730"/>
      <w:bookmarkStart w:id="722" w:name="_Toc457245106"/>
      <w:bookmarkStart w:id="723" w:name="_Toc457245478"/>
      <w:bookmarkStart w:id="724" w:name="_Toc457245848"/>
      <w:bookmarkStart w:id="725" w:name="_Toc457246189"/>
      <w:bookmarkStart w:id="726" w:name="_Toc457246528"/>
      <w:bookmarkStart w:id="727" w:name="_Toc457288983"/>
      <w:bookmarkStart w:id="728" w:name="_Toc457290806"/>
      <w:bookmarkStart w:id="729" w:name="_Toc457399178"/>
      <w:bookmarkStart w:id="730" w:name="_Toc457458917"/>
      <w:bookmarkStart w:id="731" w:name="_Toc457468207"/>
      <w:bookmarkStart w:id="732" w:name="_Toc457483243"/>
      <w:bookmarkStart w:id="733" w:name="_Toc457483639"/>
      <w:bookmarkStart w:id="734" w:name="_Toc457506577"/>
      <w:bookmarkStart w:id="735" w:name="_Toc457512605"/>
      <w:bookmarkStart w:id="736" w:name="_Toc457242451"/>
      <w:bookmarkStart w:id="737" w:name="_Toc457242834"/>
      <w:bookmarkStart w:id="738" w:name="_Toc457243217"/>
      <w:bookmarkStart w:id="739" w:name="_Toc457243596"/>
      <w:bookmarkStart w:id="740" w:name="_Toc457243972"/>
      <w:bookmarkStart w:id="741" w:name="_Toc457244354"/>
      <w:bookmarkStart w:id="742" w:name="_Toc457244731"/>
      <w:bookmarkStart w:id="743" w:name="_Toc457245107"/>
      <w:bookmarkStart w:id="744" w:name="_Toc457245479"/>
      <w:bookmarkStart w:id="745" w:name="_Toc457245849"/>
      <w:bookmarkStart w:id="746" w:name="_Toc457246190"/>
      <w:bookmarkStart w:id="747" w:name="_Toc457246529"/>
      <w:bookmarkStart w:id="748" w:name="_Toc457288984"/>
      <w:bookmarkStart w:id="749" w:name="_Toc457290807"/>
      <w:bookmarkStart w:id="750" w:name="_Toc457399179"/>
      <w:bookmarkStart w:id="751" w:name="_Toc457458918"/>
      <w:bookmarkStart w:id="752" w:name="_Toc457468208"/>
      <w:bookmarkStart w:id="753" w:name="_Toc457483244"/>
      <w:bookmarkStart w:id="754" w:name="_Toc457483640"/>
      <w:bookmarkStart w:id="755" w:name="_Toc457506578"/>
      <w:bookmarkStart w:id="756" w:name="_Toc457512606"/>
      <w:bookmarkStart w:id="757" w:name="_Toc457242452"/>
      <w:bookmarkStart w:id="758" w:name="_Toc457242835"/>
      <w:bookmarkStart w:id="759" w:name="_Toc457243218"/>
      <w:bookmarkStart w:id="760" w:name="_Toc457243597"/>
      <w:bookmarkStart w:id="761" w:name="_Toc457243973"/>
      <w:bookmarkStart w:id="762" w:name="_Toc457244355"/>
      <w:bookmarkStart w:id="763" w:name="_Toc457244732"/>
      <w:bookmarkStart w:id="764" w:name="_Toc457245108"/>
      <w:bookmarkStart w:id="765" w:name="_Toc457245480"/>
      <w:bookmarkStart w:id="766" w:name="_Toc457245850"/>
      <w:bookmarkStart w:id="767" w:name="_Toc457246191"/>
      <w:bookmarkStart w:id="768" w:name="_Toc457246530"/>
      <w:bookmarkStart w:id="769" w:name="_Toc457288985"/>
      <w:bookmarkStart w:id="770" w:name="_Toc457290808"/>
      <w:bookmarkStart w:id="771" w:name="_Toc457399180"/>
      <w:bookmarkStart w:id="772" w:name="_Toc457458919"/>
      <w:bookmarkStart w:id="773" w:name="_Toc457468209"/>
      <w:bookmarkStart w:id="774" w:name="_Toc457483245"/>
      <w:bookmarkStart w:id="775" w:name="_Toc457483641"/>
      <w:bookmarkStart w:id="776" w:name="_Toc457506579"/>
      <w:bookmarkStart w:id="777" w:name="_Toc457512607"/>
      <w:bookmarkStart w:id="778" w:name="_Toc460257505"/>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617952">
        <w:lastRenderedPageBreak/>
        <w:t xml:space="preserve">Private </w:t>
      </w:r>
      <w:r>
        <w:t>r</w:t>
      </w:r>
      <w:r w:rsidRPr="00617952">
        <w:t xml:space="preserve">ental </w:t>
      </w:r>
      <w:r>
        <w:t>h</w:t>
      </w:r>
      <w:r w:rsidRPr="00617952">
        <w:t>ousing</w:t>
      </w:r>
      <w:bookmarkEnd w:id="778"/>
    </w:p>
    <w:tbl>
      <w:tblPr>
        <w:tblStyle w:val="TableGrid"/>
        <w:tblW w:w="0" w:type="auto"/>
        <w:tblLook w:val="04A0" w:firstRow="1" w:lastRow="0" w:firstColumn="1" w:lastColumn="0" w:noHBand="0" w:noVBand="1"/>
      </w:tblPr>
      <w:tblGrid>
        <w:gridCol w:w="9322"/>
      </w:tblGrid>
      <w:tr w:rsidR="000D18B4" w14:paraId="24475755" w14:textId="77777777" w:rsidTr="00BA3344">
        <w:tc>
          <w:tcPr>
            <w:tcW w:w="9548" w:type="dxa"/>
          </w:tcPr>
          <w:p w14:paraId="7EE0F53B" w14:textId="77777777" w:rsidR="000D18B4" w:rsidRPr="001B1330" w:rsidRDefault="000D18B4" w:rsidP="00BA3344">
            <w:pPr>
              <w:pStyle w:val="Boxheading"/>
            </w:pPr>
            <w:r w:rsidRPr="001B1330">
              <w:t>Issues</w:t>
            </w:r>
          </w:p>
          <w:p w14:paraId="172CDC9C" w14:textId="78E5C335" w:rsidR="000D18B4" w:rsidRDefault="000D18B4" w:rsidP="0005526D">
            <w:pPr>
              <w:pStyle w:val="ListParagraph"/>
              <w:numPr>
                <w:ilvl w:val="0"/>
                <w:numId w:val="7"/>
              </w:numPr>
              <w:spacing w:after="0" w:line="240" w:lineRule="auto"/>
            </w:pPr>
            <w:r>
              <w:t>People living in private rental housing are particularly vulnerable to a range of factors</w:t>
            </w:r>
            <w:r w:rsidR="00B27575">
              <w:t>,</w:t>
            </w:r>
            <w:r>
              <w:t xml:space="preserve"> including decisions by the property owner, increases in rent and the cost of living</w:t>
            </w:r>
            <w:r w:rsidR="00B27575">
              <w:t>.</w:t>
            </w:r>
            <w:r>
              <w:t xml:space="preserve">  </w:t>
            </w:r>
          </w:p>
          <w:p w14:paraId="2F181009" w14:textId="421B55AC" w:rsidR="000D18B4" w:rsidRDefault="000D18B4" w:rsidP="0005526D">
            <w:pPr>
              <w:pStyle w:val="ListParagraph"/>
              <w:numPr>
                <w:ilvl w:val="0"/>
                <w:numId w:val="7"/>
              </w:numPr>
              <w:spacing w:after="0" w:line="240" w:lineRule="auto"/>
            </w:pPr>
            <w:r>
              <w:t xml:space="preserve">People with a disability in the private rental market are particularly vulnerable </w:t>
            </w:r>
            <w:r w:rsidRPr="007D2C8F">
              <w:t>due to the lack of modified and/or modifiable private rental stock available and the difficulty in having a rented property modified.</w:t>
            </w:r>
            <w:r>
              <w:t xml:space="preserve"> </w:t>
            </w:r>
          </w:p>
          <w:p w14:paraId="492BE80F" w14:textId="77777777" w:rsidR="000D18B4" w:rsidRDefault="000D18B4" w:rsidP="0005526D">
            <w:pPr>
              <w:numPr>
                <w:ilvl w:val="0"/>
                <w:numId w:val="7"/>
              </w:numPr>
              <w:spacing w:after="0" w:line="240" w:lineRule="auto"/>
              <w:contextualSpacing/>
            </w:pPr>
            <w:r w:rsidRPr="00DE6932">
              <w:t>People living in private rental dwellings have limited financial options for developing equity in housing, and are vulnerable to a housing crisis due to insecurity of tenure, short leases and lack of control over the physical nature of their dwelling.</w:t>
            </w:r>
          </w:p>
          <w:p w14:paraId="34726988" w14:textId="77777777" w:rsidR="000D18B4" w:rsidRDefault="000D18B4" w:rsidP="00BA3344">
            <w:pPr>
              <w:keepNext/>
              <w:keepLines/>
              <w:spacing w:before="40"/>
              <w:outlineLvl w:val="1"/>
              <w:rPr>
                <w:rFonts w:asciiTheme="majorHAnsi" w:eastAsiaTheme="majorEastAsia" w:hAnsiTheme="majorHAnsi" w:cstheme="majorBidi"/>
                <w:b/>
                <w:sz w:val="26"/>
                <w:szCs w:val="26"/>
              </w:rPr>
            </w:pPr>
          </w:p>
        </w:tc>
      </w:tr>
    </w:tbl>
    <w:p w14:paraId="5FEE11F2" w14:textId="77777777" w:rsidR="000D18B4" w:rsidRDefault="000D18B4" w:rsidP="000D18B4"/>
    <w:p w14:paraId="4B336859" w14:textId="50E03AFF" w:rsidR="000D18B4" w:rsidRPr="00C614BD" w:rsidRDefault="00B27575" w:rsidP="000D18B4">
      <w:r>
        <w:t>Many</w:t>
      </w:r>
      <w:r w:rsidRPr="00C614BD">
        <w:t xml:space="preserve"> </w:t>
      </w:r>
      <w:r w:rsidR="000D18B4" w:rsidRPr="00C614BD">
        <w:t>reports have found that pensioners who rent privately ha</w:t>
      </w:r>
      <w:r w:rsidR="000D18B4">
        <w:t>ve</w:t>
      </w:r>
      <w:r w:rsidR="000D18B4" w:rsidRPr="00C614BD">
        <w:t xml:space="preserve"> poorer outcomes, including higher financial stress</w:t>
      </w:r>
      <w:r w:rsidR="00685F86">
        <w:t>,</w:t>
      </w:r>
      <w:r w:rsidR="000D18B4" w:rsidRPr="00C614BD">
        <w:t xml:space="preserve"> than </w:t>
      </w:r>
      <w:r w:rsidR="000D18B4">
        <w:t>those</w:t>
      </w:r>
      <w:r w:rsidR="000D18B4" w:rsidRPr="00C614BD">
        <w:t xml:space="preserve"> who own their homes outright or </w:t>
      </w:r>
      <w:r w:rsidR="00685F86">
        <w:t>live</w:t>
      </w:r>
      <w:r w:rsidR="000D18B4" w:rsidRPr="00C614BD">
        <w:t xml:space="preserve"> in </w:t>
      </w:r>
      <w:r w:rsidR="000D18B4">
        <w:t xml:space="preserve">social </w:t>
      </w:r>
      <w:r w:rsidR="000D18B4" w:rsidRPr="00C614BD">
        <w:t xml:space="preserve">housing. Older people in private rental </w:t>
      </w:r>
      <w:r w:rsidR="000D18B4" w:rsidRPr="004C1AE3">
        <w:t xml:space="preserve">housing </w:t>
      </w:r>
      <w:r w:rsidR="000D18B4" w:rsidRPr="00C614BD">
        <w:t>report that they experience high levels of anxiety due to unstable tenure, frequent rent rises (with rent rises outpacing rises in rent assistance</w:t>
      </w:r>
      <w:r w:rsidR="000D18B4" w:rsidRPr="00C614BD">
        <w:rPr>
          <w:vertAlign w:val="superscript"/>
        </w:rPr>
        <w:footnoteReference w:id="46"/>
      </w:r>
      <w:r w:rsidR="000D18B4" w:rsidRPr="00C614BD">
        <w:t>) and the need to move frequently. A high proportion pay more than 30</w:t>
      </w:r>
      <w:r w:rsidR="003D64E0">
        <w:t xml:space="preserve"> per cent</w:t>
      </w:r>
      <w:r w:rsidR="000D18B4" w:rsidRPr="00C614BD">
        <w:t xml:space="preserve"> of their income on housing costs. A </w:t>
      </w:r>
      <w:r w:rsidR="008F273C">
        <w:t xml:space="preserve">recent </w:t>
      </w:r>
      <w:r w:rsidR="000D18B4" w:rsidRPr="00C614BD">
        <w:t xml:space="preserve">report by QCOSS raised concerns about </w:t>
      </w:r>
      <w:r w:rsidR="008F273C">
        <w:t xml:space="preserve">age </w:t>
      </w:r>
      <w:r w:rsidR="000D18B4" w:rsidRPr="00C614BD">
        <w:t>pensioners</w:t>
      </w:r>
      <w:r w:rsidR="000D18B4">
        <w:t>’</w:t>
      </w:r>
      <w:r w:rsidR="000D18B4" w:rsidRPr="00C614BD">
        <w:t xml:space="preserve"> housing costs in the Brisbane private rental market, with single </w:t>
      </w:r>
      <w:r w:rsidR="008F273C">
        <w:t xml:space="preserve">and couple age </w:t>
      </w:r>
      <w:r w:rsidR="000D18B4" w:rsidRPr="00C614BD">
        <w:t xml:space="preserve">pensioners paying </w:t>
      </w:r>
      <w:r w:rsidR="008F273C">
        <w:t>almost 50</w:t>
      </w:r>
      <w:r w:rsidR="003D64E0">
        <w:t xml:space="preserve"> per cent</w:t>
      </w:r>
      <w:r w:rsidR="000D18B4" w:rsidRPr="00C614BD">
        <w:t xml:space="preserve"> of the</w:t>
      </w:r>
      <w:r w:rsidR="000D18B4">
        <w:t>ir</w:t>
      </w:r>
      <w:r w:rsidR="000D18B4" w:rsidRPr="00C614BD">
        <w:t xml:space="preserve"> income on housing costs.</w:t>
      </w:r>
      <w:r w:rsidR="000D18B4" w:rsidRPr="00C614BD">
        <w:rPr>
          <w:vertAlign w:val="superscript"/>
        </w:rPr>
        <w:footnoteReference w:id="47"/>
      </w:r>
    </w:p>
    <w:p w14:paraId="0E370CB4" w14:textId="670E5FA1" w:rsidR="000D18B4" w:rsidRDefault="000D18B4" w:rsidP="000D18B4">
      <w:r w:rsidRPr="004C1AE3">
        <w:t>Older</w:t>
      </w:r>
      <w:r w:rsidRPr="00AB4BBF">
        <w:t xml:space="preserve"> people in private rental can easily find themselves in a housing crisis after experiencing a ‘trigger event’ such as death of </w:t>
      </w:r>
      <w:r w:rsidR="00685F86">
        <w:t xml:space="preserve">a </w:t>
      </w:r>
      <w:r w:rsidRPr="00AB4BBF">
        <w:t>spouse, a family breakdown, an emerging health or mobility issue</w:t>
      </w:r>
      <w:r w:rsidR="00685F86">
        <w:t>,</w:t>
      </w:r>
      <w:r w:rsidRPr="00AB4BBF">
        <w:t xml:space="preserve"> or a ‘notice to vacate’. Evidence shows that the greatest proportion of people who are homeless for the first time in later life have come from a crisis in the private rental market.</w:t>
      </w:r>
      <w:r w:rsidRPr="00AB4BBF">
        <w:rPr>
          <w:vertAlign w:val="superscript"/>
        </w:rPr>
        <w:t xml:space="preserve"> </w:t>
      </w:r>
      <w:r w:rsidRPr="00AB4BBF">
        <w:rPr>
          <w:vertAlign w:val="superscript"/>
        </w:rPr>
        <w:footnoteReference w:id="48"/>
      </w:r>
      <w:r w:rsidRPr="00AB4BBF">
        <w:t xml:space="preserve"> </w:t>
      </w:r>
    </w:p>
    <w:p w14:paraId="70EF1E38" w14:textId="0A0F48A9" w:rsidR="000D18B4" w:rsidRPr="00AB4BBF" w:rsidRDefault="000D18B4" w:rsidP="000D18B4">
      <w:r>
        <w:t xml:space="preserve">Community consultation reiterated the vulnerability of older renters. It was suggested that </w:t>
      </w:r>
      <w:r w:rsidR="00867EE6">
        <w:t xml:space="preserve">organisations like </w:t>
      </w:r>
      <w:r w:rsidR="00685F86">
        <w:t xml:space="preserve">the </w:t>
      </w:r>
      <w:r>
        <w:t xml:space="preserve">Real Estate Institute </w:t>
      </w:r>
      <w:r w:rsidR="00685F86">
        <w:t xml:space="preserve">of </w:t>
      </w:r>
      <w:r>
        <w:t xml:space="preserve">Queensland (REIQ) could promote older tenants to landlords as </w:t>
      </w:r>
      <w:r w:rsidR="00685F86">
        <w:t>‘</w:t>
      </w:r>
      <w:r>
        <w:t>tenant</w:t>
      </w:r>
      <w:r w:rsidR="00867EE6">
        <w:t>s</w:t>
      </w:r>
      <w:r>
        <w:t xml:space="preserve"> for life</w:t>
      </w:r>
      <w:r w:rsidR="00685F86">
        <w:t>’</w:t>
      </w:r>
      <w:r>
        <w:t>.</w:t>
      </w:r>
    </w:p>
    <w:p w14:paraId="20673977" w14:textId="509EC422" w:rsidR="000D18B4" w:rsidRPr="00AB4BBF" w:rsidRDefault="000D18B4" w:rsidP="000D18B4">
      <w:r w:rsidRPr="00AB4BBF">
        <w:t>The predominant form of government assistance to older people in the private rental market is Commonwealth Rent Assistance (CRA). According to Peterson and Jones (2013), CRA does have a positive impact on housing affordability</w:t>
      </w:r>
      <w:r w:rsidR="00794231">
        <w:t>. However</w:t>
      </w:r>
      <w:r w:rsidRPr="00AB4BBF">
        <w:t xml:space="preserve">, it is unable to adequately assist older people paying high levels of rent </w:t>
      </w:r>
      <w:r w:rsidR="00794231">
        <w:t>because</w:t>
      </w:r>
      <w:r w:rsidR="00794231" w:rsidRPr="00AB4BBF">
        <w:t xml:space="preserve"> </w:t>
      </w:r>
      <w:r w:rsidR="00794231">
        <w:t xml:space="preserve">of </w:t>
      </w:r>
      <w:r w:rsidRPr="00AB4BBF">
        <w:t>the ceiling on the supplement</w:t>
      </w:r>
      <w:r>
        <w:t xml:space="preserve"> and </w:t>
      </w:r>
      <w:r w:rsidR="00794231">
        <w:t>the</w:t>
      </w:r>
      <w:r w:rsidR="00794231" w:rsidRPr="00AB4BBF">
        <w:t xml:space="preserve"> </w:t>
      </w:r>
      <w:r w:rsidR="00794231">
        <w:t xml:space="preserve">fact that the </w:t>
      </w:r>
      <w:r w:rsidRPr="00AB4BBF">
        <w:t>CRA has not kept pace with rental rises</w:t>
      </w:r>
      <w:r>
        <w:t xml:space="preserve"> or regional variations in rent levels</w:t>
      </w:r>
      <w:r w:rsidRPr="00AB4BBF">
        <w:t>.</w:t>
      </w:r>
      <w:r w:rsidRPr="00AB4BBF">
        <w:rPr>
          <w:vertAlign w:val="superscript"/>
        </w:rPr>
        <w:footnoteReference w:id="49"/>
      </w:r>
    </w:p>
    <w:p w14:paraId="2A220BFF" w14:textId="4DA60D1A" w:rsidR="000D18B4" w:rsidRPr="004814A4" w:rsidRDefault="000D18B4" w:rsidP="000D18B4">
      <w:pPr>
        <w:rPr>
          <w:rFonts w:eastAsia="Times New Roman" w:cs="Times New Roman"/>
        </w:rPr>
      </w:pPr>
      <w:r w:rsidRPr="00685F86">
        <w:t>Those</w:t>
      </w:r>
      <w:r>
        <w:rPr>
          <w:rFonts w:ascii="Calibri" w:eastAsia="Times New Roman" w:hAnsi="Calibri" w:cs="Calibri"/>
        </w:rPr>
        <w:t xml:space="preserve"> who rent privately can face </w:t>
      </w:r>
      <w:r w:rsidRPr="004814A4">
        <w:rPr>
          <w:rFonts w:ascii="Calibri" w:eastAsia="Times New Roman" w:hAnsi="Calibri" w:cs="Calibri"/>
        </w:rPr>
        <w:t>evictions, commonly for reasons that are not breaches of tenancy law. Avoidable evictions generate unnecessary churn costs for renting households, government and the community</w:t>
      </w:r>
      <w:r w:rsidR="009B729C">
        <w:rPr>
          <w:rFonts w:ascii="Calibri" w:eastAsia="Times New Roman" w:hAnsi="Calibri" w:cs="Calibri"/>
        </w:rPr>
        <w:t>. These costs are</w:t>
      </w:r>
      <w:r w:rsidRPr="004814A4">
        <w:rPr>
          <w:rFonts w:ascii="Calibri" w:eastAsia="Times New Roman" w:hAnsi="Calibri" w:cs="Calibri"/>
        </w:rPr>
        <w:t xml:space="preserve"> economic and social, with the greatest effect being on those on low incomes.</w:t>
      </w:r>
      <w:r>
        <w:rPr>
          <w:rStyle w:val="FootnoteReference"/>
          <w:rFonts w:ascii="Calibri" w:eastAsia="Times New Roman" w:hAnsi="Calibri" w:cs="Calibri"/>
        </w:rPr>
        <w:footnoteReference w:id="50"/>
      </w:r>
    </w:p>
    <w:p w14:paraId="7732FF10" w14:textId="3481223B" w:rsidR="000D18B4" w:rsidRPr="004814A4" w:rsidRDefault="009B729C" w:rsidP="000D18B4">
      <w:pPr>
        <w:rPr>
          <w:rFonts w:eastAsia="Times New Roman" w:cs="Times New Roman"/>
        </w:rPr>
      </w:pPr>
      <w:r>
        <w:rPr>
          <w:rFonts w:eastAsia="Times New Roman" w:cs="Times New Roman"/>
        </w:rPr>
        <w:t>‘W</w:t>
      </w:r>
      <w:r w:rsidR="000D18B4" w:rsidRPr="004814A4">
        <w:rPr>
          <w:rFonts w:eastAsia="Times New Roman" w:cs="Times New Roman"/>
        </w:rPr>
        <w:t>ithout grounds evictions</w:t>
      </w:r>
      <w:r>
        <w:rPr>
          <w:rFonts w:eastAsia="Times New Roman" w:cs="Times New Roman"/>
        </w:rPr>
        <w:t>’</w:t>
      </w:r>
      <w:r w:rsidR="000D18B4" w:rsidRPr="004814A4">
        <w:rPr>
          <w:rFonts w:eastAsia="Times New Roman" w:cs="Times New Roman"/>
        </w:rPr>
        <w:t xml:space="preserve"> often mask retaliatory or discriminatory reasons. Tenants frequently report concern for their tenure when they attempt to pursue other rights such as having the property repaired. </w:t>
      </w:r>
      <w:r w:rsidR="000D18B4" w:rsidRPr="004814A4">
        <w:rPr>
          <w:rFonts w:eastAsia="Times New Roman" w:cs="Times New Roman"/>
        </w:rPr>
        <w:lastRenderedPageBreak/>
        <w:t>Fixed</w:t>
      </w:r>
      <w:r>
        <w:rPr>
          <w:rFonts w:eastAsia="Times New Roman" w:cs="Times New Roman"/>
        </w:rPr>
        <w:t>-</w:t>
      </w:r>
      <w:r w:rsidR="000D18B4" w:rsidRPr="004814A4">
        <w:rPr>
          <w:rFonts w:eastAsia="Times New Roman" w:cs="Times New Roman"/>
        </w:rPr>
        <w:t>term tenancy agreement</w:t>
      </w:r>
      <w:r w:rsidR="000D18B4">
        <w:rPr>
          <w:rFonts w:eastAsia="Times New Roman" w:cs="Times New Roman"/>
        </w:rPr>
        <w:t>s</w:t>
      </w:r>
      <w:r w:rsidR="000D18B4" w:rsidRPr="004814A4">
        <w:rPr>
          <w:rFonts w:eastAsia="Times New Roman" w:cs="Times New Roman"/>
        </w:rPr>
        <w:t xml:space="preserve"> in Queensland are commonly</w:t>
      </w:r>
      <w:r w:rsidR="000D18B4">
        <w:rPr>
          <w:rFonts w:eastAsia="Times New Roman" w:cs="Times New Roman"/>
        </w:rPr>
        <w:t xml:space="preserve"> for </w:t>
      </w:r>
      <w:r w:rsidR="000D18B4">
        <w:rPr>
          <w:rFonts w:eastAsiaTheme="majorEastAsia" w:cs="Times New Roman"/>
        </w:rPr>
        <w:t>six months</w:t>
      </w:r>
      <w:r w:rsidR="000D18B4" w:rsidRPr="004814A4">
        <w:rPr>
          <w:rFonts w:eastAsiaTheme="majorEastAsia" w:cs="Times New Roman"/>
        </w:rPr>
        <w:t xml:space="preserve"> and the tenant </w:t>
      </w:r>
      <w:r>
        <w:rPr>
          <w:rFonts w:eastAsiaTheme="majorEastAsia" w:cs="Times New Roman"/>
        </w:rPr>
        <w:t xml:space="preserve">must </w:t>
      </w:r>
      <w:r w:rsidR="000D18B4">
        <w:rPr>
          <w:rFonts w:eastAsiaTheme="majorEastAsia" w:cs="Times New Roman"/>
        </w:rPr>
        <w:t>rel</w:t>
      </w:r>
      <w:r>
        <w:rPr>
          <w:rFonts w:eastAsiaTheme="majorEastAsia" w:cs="Times New Roman"/>
        </w:rPr>
        <w:t>y</w:t>
      </w:r>
      <w:r w:rsidR="000D18B4" w:rsidRPr="004814A4">
        <w:rPr>
          <w:rFonts w:eastAsiaTheme="majorEastAsia" w:cs="Times New Roman"/>
        </w:rPr>
        <w:t xml:space="preserve"> on an offer of renewal from the </w:t>
      </w:r>
      <w:r>
        <w:rPr>
          <w:rFonts w:eastAsiaTheme="majorEastAsia" w:cs="Times New Roman"/>
        </w:rPr>
        <w:t xml:space="preserve">owner or </w:t>
      </w:r>
      <w:r w:rsidR="000D18B4" w:rsidRPr="004814A4">
        <w:rPr>
          <w:rFonts w:eastAsiaTheme="majorEastAsia" w:cs="Times New Roman"/>
        </w:rPr>
        <w:t>agent.</w:t>
      </w:r>
    </w:p>
    <w:p w14:paraId="7A700950" w14:textId="77777777" w:rsidR="000D18B4" w:rsidRDefault="000D18B4" w:rsidP="000D18B4">
      <w:pPr>
        <w:rPr>
          <w:rFonts w:eastAsiaTheme="majorEastAsia" w:cs="Times New Roman"/>
        </w:rPr>
      </w:pPr>
      <w:r w:rsidRPr="004814A4">
        <w:rPr>
          <w:rFonts w:eastAsiaTheme="majorEastAsia" w:cs="Times New Roman"/>
        </w:rPr>
        <w:t xml:space="preserve">Renters commonly report their reluctance to complain or push too hard where they are in dispute with an owner or agent during the tenancy due to a risk they will be seen as a </w:t>
      </w:r>
      <w:r>
        <w:rPr>
          <w:rFonts w:eastAsiaTheme="majorEastAsia" w:cs="Times New Roman"/>
        </w:rPr>
        <w:t>‘</w:t>
      </w:r>
      <w:r w:rsidRPr="004814A4">
        <w:rPr>
          <w:rFonts w:eastAsiaTheme="majorEastAsia" w:cs="Times New Roman"/>
        </w:rPr>
        <w:t>trouble maker</w:t>
      </w:r>
      <w:r>
        <w:rPr>
          <w:rFonts w:eastAsiaTheme="majorEastAsia" w:cs="Times New Roman"/>
        </w:rPr>
        <w:t>’</w:t>
      </w:r>
      <w:r w:rsidRPr="004814A4">
        <w:rPr>
          <w:rFonts w:eastAsiaTheme="majorEastAsia" w:cs="Times New Roman"/>
        </w:rPr>
        <w:t xml:space="preserve"> and evicted without grounds.  </w:t>
      </w:r>
    </w:p>
    <w:p w14:paraId="37222FAF" w14:textId="1F32EC9C" w:rsidR="00AC38B5" w:rsidRDefault="00AC38B5" w:rsidP="00AC38B5">
      <w:pPr>
        <w:rPr>
          <w:rFonts w:eastAsia="Times New Roman" w:cs="Times New Roman"/>
        </w:rPr>
      </w:pPr>
      <w:r w:rsidRPr="004814A4">
        <w:rPr>
          <w:rFonts w:eastAsia="Times New Roman" w:cs="Times New Roman"/>
        </w:rPr>
        <w:t xml:space="preserve">Currently, tenancy laws in Queensland do not comprehensively </w:t>
      </w:r>
      <w:r w:rsidR="005A73B6">
        <w:rPr>
          <w:rFonts w:eastAsia="Times New Roman" w:cs="Times New Roman"/>
        </w:rPr>
        <w:t>address</w:t>
      </w:r>
      <w:r w:rsidR="005A73B6" w:rsidRPr="004814A4">
        <w:rPr>
          <w:rFonts w:eastAsia="Times New Roman" w:cs="Times New Roman"/>
        </w:rPr>
        <w:t xml:space="preserve"> </w:t>
      </w:r>
      <w:r w:rsidRPr="004814A4">
        <w:rPr>
          <w:rFonts w:eastAsia="Times New Roman" w:cs="Times New Roman"/>
        </w:rPr>
        <w:t>the grounds for evictions considered legitimate in the housing market.</w:t>
      </w:r>
      <w:r>
        <w:rPr>
          <w:rFonts w:eastAsia="Times New Roman" w:cs="Times New Roman"/>
        </w:rPr>
        <w:t xml:space="preserve"> </w:t>
      </w:r>
      <w:r w:rsidR="004D380D">
        <w:rPr>
          <w:rFonts w:eastAsia="Times New Roman" w:cs="Times New Roman"/>
        </w:rPr>
        <w:t>‘</w:t>
      </w:r>
      <w:r>
        <w:rPr>
          <w:rFonts w:eastAsia="Times New Roman" w:cs="Times New Roman"/>
        </w:rPr>
        <w:t>W</w:t>
      </w:r>
      <w:r w:rsidRPr="004814A4">
        <w:rPr>
          <w:rFonts w:eastAsia="Times New Roman" w:cs="Times New Roman"/>
        </w:rPr>
        <w:t>ithout ground</w:t>
      </w:r>
      <w:r w:rsidR="005A73B6">
        <w:rPr>
          <w:rFonts w:eastAsia="Times New Roman" w:cs="Times New Roman"/>
        </w:rPr>
        <w:t>s</w:t>
      </w:r>
      <w:r w:rsidRPr="004814A4">
        <w:rPr>
          <w:rFonts w:eastAsia="Times New Roman" w:cs="Times New Roman"/>
        </w:rPr>
        <w:t xml:space="preserve"> evictions</w:t>
      </w:r>
      <w:r w:rsidR="004D380D">
        <w:rPr>
          <w:rFonts w:eastAsia="Times New Roman" w:cs="Times New Roman"/>
        </w:rPr>
        <w:t>’</w:t>
      </w:r>
      <w:r w:rsidRPr="004814A4">
        <w:rPr>
          <w:rFonts w:eastAsia="Times New Roman" w:cs="Times New Roman"/>
        </w:rPr>
        <w:t xml:space="preserve"> </w:t>
      </w:r>
      <w:r>
        <w:rPr>
          <w:rFonts w:eastAsia="Times New Roman" w:cs="Times New Roman"/>
        </w:rPr>
        <w:t>c</w:t>
      </w:r>
      <w:r w:rsidRPr="004814A4">
        <w:rPr>
          <w:rFonts w:eastAsia="Times New Roman" w:cs="Times New Roman"/>
        </w:rPr>
        <w:t>ould be prevented under Queensland tenancy law</w:t>
      </w:r>
      <w:r w:rsidR="005A73B6">
        <w:rPr>
          <w:rFonts w:eastAsia="Times New Roman" w:cs="Times New Roman"/>
        </w:rPr>
        <w:t>, and</w:t>
      </w:r>
      <w:r w:rsidRPr="004814A4">
        <w:rPr>
          <w:rFonts w:eastAsia="Times New Roman" w:cs="Times New Roman"/>
        </w:rPr>
        <w:t xml:space="preserve"> would require the introduction of additional grounds.  </w:t>
      </w:r>
    </w:p>
    <w:p w14:paraId="358C1C86" w14:textId="53D7C1E4" w:rsidR="000D18B4" w:rsidRPr="004814A4" w:rsidRDefault="000D18B4" w:rsidP="000D18B4">
      <w:pPr>
        <w:rPr>
          <w:rFonts w:eastAsia="Times New Roman" w:cs="Times New Roman"/>
        </w:rPr>
      </w:pPr>
      <w:r>
        <w:rPr>
          <w:rFonts w:ascii="Calibri" w:eastAsia="Times New Roman" w:hAnsi="Calibri" w:cs="Calibri"/>
        </w:rPr>
        <w:t>Tenants Queensland advises that l</w:t>
      </w:r>
      <w:r w:rsidRPr="004814A4">
        <w:rPr>
          <w:rFonts w:ascii="Calibri" w:eastAsia="Times New Roman" w:hAnsi="Calibri" w:cs="Calibri"/>
        </w:rPr>
        <w:t>essors should only be allowed to give notices of termination on specified reasonable grounds. Tenancies should only be terminated against tenant’s wishes where:</w:t>
      </w:r>
    </w:p>
    <w:p w14:paraId="5B2F1340" w14:textId="135D274C" w:rsidR="000D18B4" w:rsidRPr="004814A4" w:rsidRDefault="008D48F6" w:rsidP="004363AF">
      <w:pPr>
        <w:numPr>
          <w:ilvl w:val="0"/>
          <w:numId w:val="26"/>
        </w:numPr>
        <w:ind w:hanging="578"/>
        <w:contextualSpacing/>
        <w:rPr>
          <w:rFonts w:eastAsiaTheme="minorEastAsia" w:cs="Times New Roman"/>
        </w:rPr>
      </w:pPr>
      <w:r>
        <w:rPr>
          <w:rFonts w:ascii="Calibri" w:eastAsia="Times New Roman" w:hAnsi="Calibri" w:cs="Calibri"/>
        </w:rPr>
        <w:t>t</w:t>
      </w:r>
      <w:r w:rsidR="000D18B4" w:rsidRPr="004814A4">
        <w:rPr>
          <w:rFonts w:ascii="Calibri" w:eastAsia="Times New Roman" w:hAnsi="Calibri" w:cs="Calibri"/>
        </w:rPr>
        <w:t>here are grounds as prescribed by residential tenancies legislation</w:t>
      </w:r>
    </w:p>
    <w:p w14:paraId="5BE3DCE3" w14:textId="77B938CA" w:rsidR="007769BD" w:rsidRPr="00DC7291" w:rsidRDefault="008D48F6" w:rsidP="004363AF">
      <w:pPr>
        <w:numPr>
          <w:ilvl w:val="0"/>
          <w:numId w:val="26"/>
        </w:numPr>
        <w:ind w:hanging="578"/>
        <w:contextualSpacing/>
        <w:rPr>
          <w:rFonts w:eastAsiaTheme="minorEastAsia" w:cs="Times New Roman"/>
        </w:rPr>
      </w:pPr>
      <w:r>
        <w:rPr>
          <w:rFonts w:ascii="Calibri" w:eastAsia="Times New Roman" w:hAnsi="Calibri" w:cs="Calibri"/>
        </w:rPr>
        <w:t>w</w:t>
      </w:r>
      <w:r w:rsidR="000D18B4" w:rsidRPr="004814A4">
        <w:rPr>
          <w:rFonts w:ascii="Calibri" w:eastAsia="Times New Roman" w:hAnsi="Calibri" w:cs="Calibri"/>
        </w:rPr>
        <w:t>hen appropriate notice is given</w:t>
      </w:r>
    </w:p>
    <w:p w14:paraId="4DF170E8" w14:textId="46F314E4" w:rsidR="000D18B4" w:rsidRPr="00DC7291" w:rsidRDefault="008D48F6" w:rsidP="004363AF">
      <w:pPr>
        <w:numPr>
          <w:ilvl w:val="0"/>
          <w:numId w:val="43"/>
        </w:numPr>
        <w:spacing w:line="240" w:lineRule="auto"/>
        <w:ind w:left="720" w:hanging="578"/>
        <w:contextualSpacing/>
      </w:pPr>
      <w:r>
        <w:t>i</w:t>
      </w:r>
      <w:r w:rsidR="000D18B4" w:rsidRPr="004814A4">
        <w:t xml:space="preserve">n the case of a dispute, a </w:t>
      </w:r>
      <w:r w:rsidR="005A73B6">
        <w:t>t</w:t>
      </w:r>
      <w:r w:rsidR="000D18B4" w:rsidRPr="004814A4">
        <w:t xml:space="preserve">ribunal or </w:t>
      </w:r>
      <w:r w:rsidR="005A73B6">
        <w:t>c</w:t>
      </w:r>
      <w:r w:rsidR="000D18B4" w:rsidRPr="004814A4">
        <w:t xml:space="preserve">ourt determines that in all the circumstances of the case it is </w:t>
      </w:r>
      <w:r w:rsidR="000D18B4" w:rsidRPr="007769BD">
        <w:t>appropriate</w:t>
      </w:r>
      <w:r w:rsidR="000D18B4" w:rsidRPr="004814A4">
        <w:t xml:space="preserve"> to end the tenancy</w:t>
      </w:r>
      <w:r>
        <w:t xml:space="preserve"> (i</w:t>
      </w:r>
      <w:r w:rsidR="000D18B4" w:rsidRPr="004814A4">
        <w:t xml:space="preserve">t should not fall to the tenant to apply to </w:t>
      </w:r>
      <w:r w:rsidR="005A73B6">
        <w:t>a</w:t>
      </w:r>
      <w:r w:rsidR="000D18B4" w:rsidRPr="004814A4">
        <w:t xml:space="preserve"> </w:t>
      </w:r>
      <w:r w:rsidR="005A73B6">
        <w:t>t</w:t>
      </w:r>
      <w:r w:rsidR="000D18B4" w:rsidRPr="004814A4">
        <w:t xml:space="preserve">ribunal to stop a </w:t>
      </w:r>
      <w:r w:rsidR="000D18B4" w:rsidRPr="00DC7291">
        <w:t>termination from proceeding</w:t>
      </w:r>
      <w:r w:rsidRPr="00DC7291">
        <w:t>)</w:t>
      </w:r>
      <w:r w:rsidR="000D18B4" w:rsidRPr="00DC7291">
        <w:t>.</w:t>
      </w:r>
    </w:p>
    <w:p w14:paraId="543466E2" w14:textId="77777777" w:rsidR="007769BD" w:rsidRPr="00DC7291" w:rsidRDefault="007769BD" w:rsidP="005A73B6">
      <w:pPr>
        <w:ind w:left="720"/>
        <w:contextualSpacing/>
        <w:rPr>
          <w:rFonts w:eastAsiaTheme="minorEastAsia" w:cs="Times New Roman"/>
          <w:sz w:val="18"/>
          <w:szCs w:val="18"/>
        </w:rPr>
      </w:pPr>
    </w:p>
    <w:p w14:paraId="42854488" w14:textId="38096D01" w:rsidR="000D18B4" w:rsidRPr="004814A4" w:rsidRDefault="000D18B4" w:rsidP="000D18B4">
      <w:pPr>
        <w:rPr>
          <w:rFonts w:eastAsia="Times New Roman" w:cs="Times New Roman"/>
        </w:rPr>
      </w:pPr>
      <w:r w:rsidRPr="004814A4">
        <w:rPr>
          <w:rFonts w:eastAsia="Times New Roman" w:cs="Times New Roman"/>
        </w:rPr>
        <w:t>Most European countries</w:t>
      </w:r>
      <w:r w:rsidR="005A73B6">
        <w:rPr>
          <w:rFonts w:eastAsia="Times New Roman" w:cs="Times New Roman"/>
        </w:rPr>
        <w:t>,</w:t>
      </w:r>
      <w:r w:rsidRPr="004814A4">
        <w:rPr>
          <w:rFonts w:eastAsia="Times New Roman" w:cs="Times New Roman"/>
        </w:rPr>
        <w:t xml:space="preserve"> including the U</w:t>
      </w:r>
      <w:r>
        <w:rPr>
          <w:rFonts w:eastAsia="Times New Roman" w:cs="Times New Roman"/>
        </w:rPr>
        <w:t xml:space="preserve">nited </w:t>
      </w:r>
      <w:r w:rsidRPr="004814A4">
        <w:rPr>
          <w:rFonts w:eastAsia="Times New Roman" w:cs="Times New Roman"/>
        </w:rPr>
        <w:t>K</w:t>
      </w:r>
      <w:r>
        <w:rPr>
          <w:rFonts w:eastAsia="Times New Roman" w:cs="Times New Roman"/>
        </w:rPr>
        <w:t>ingdom</w:t>
      </w:r>
      <w:r w:rsidR="005A73B6">
        <w:rPr>
          <w:rFonts w:eastAsia="Times New Roman" w:cs="Times New Roman"/>
        </w:rPr>
        <w:t>,</w:t>
      </w:r>
      <w:r w:rsidRPr="004814A4">
        <w:rPr>
          <w:rFonts w:eastAsia="Times New Roman" w:cs="Times New Roman"/>
        </w:rPr>
        <w:t xml:space="preserve"> already have prescribed grounds for eviction and many are introducing housing policies that focus on social inclusion and the prevention of homelessness. </w:t>
      </w:r>
    </w:p>
    <w:p w14:paraId="0DA2DD7E" w14:textId="116B6929" w:rsidR="000D18B4" w:rsidRPr="004814A4" w:rsidRDefault="005A73B6" w:rsidP="000D18B4">
      <w:pPr>
        <w:rPr>
          <w:rFonts w:eastAsia="Times New Roman" w:cs="Calibri"/>
        </w:rPr>
      </w:pPr>
      <w:r>
        <w:rPr>
          <w:rFonts w:eastAsia="Times New Roman" w:cs="Times New Roman"/>
        </w:rPr>
        <w:t>P</w:t>
      </w:r>
      <w:r w:rsidR="000D18B4" w:rsidRPr="004814A4">
        <w:rPr>
          <w:rFonts w:eastAsia="Times New Roman" w:cs="Times New Roman"/>
        </w:rPr>
        <w:t>rotection from retaliatory evictions</w:t>
      </w:r>
      <w:r>
        <w:rPr>
          <w:rFonts w:eastAsia="Times New Roman" w:cs="Times New Roman"/>
        </w:rPr>
        <w:t xml:space="preserve"> would be improved if</w:t>
      </w:r>
      <w:r w:rsidR="000D18B4" w:rsidRPr="004814A4">
        <w:rPr>
          <w:rFonts w:eastAsia="Times New Roman" w:cs="Times New Roman"/>
        </w:rPr>
        <w:t xml:space="preserve"> legislation include</w:t>
      </w:r>
      <w:r>
        <w:rPr>
          <w:rFonts w:eastAsia="Times New Roman" w:cs="Times New Roman"/>
        </w:rPr>
        <w:t>d</w:t>
      </w:r>
      <w:r w:rsidR="000D18B4" w:rsidRPr="004814A4">
        <w:rPr>
          <w:rFonts w:eastAsia="Times New Roman" w:cs="Times New Roman"/>
        </w:rPr>
        <w:t xml:space="preserve"> clearly prescribed grounds for when a tenanc</w:t>
      </w:r>
      <w:r>
        <w:rPr>
          <w:rFonts w:eastAsia="Times New Roman" w:cs="Times New Roman"/>
        </w:rPr>
        <w:t>y may be</w:t>
      </w:r>
      <w:r w:rsidR="000D18B4" w:rsidRPr="004814A4">
        <w:rPr>
          <w:rFonts w:eastAsia="Times New Roman" w:cs="Times New Roman"/>
        </w:rPr>
        <w:t xml:space="preserve"> terminated against </w:t>
      </w:r>
      <w:r>
        <w:rPr>
          <w:rFonts w:eastAsia="Times New Roman" w:cs="Times New Roman"/>
        </w:rPr>
        <w:t>the tenant’s</w:t>
      </w:r>
      <w:r w:rsidRPr="004814A4">
        <w:rPr>
          <w:rFonts w:eastAsia="Times New Roman" w:cs="Times New Roman"/>
        </w:rPr>
        <w:t xml:space="preserve"> </w:t>
      </w:r>
      <w:r w:rsidR="000D18B4" w:rsidRPr="004814A4">
        <w:rPr>
          <w:rFonts w:eastAsia="Times New Roman" w:cs="Times New Roman"/>
        </w:rPr>
        <w:t>wishe</w:t>
      </w:r>
      <w:r w:rsidR="000D18B4" w:rsidRPr="004814A4">
        <w:rPr>
          <w:rFonts w:eastAsia="Times New Roman" w:cs="Calibri"/>
        </w:rPr>
        <w:t xml:space="preserve">s. </w:t>
      </w:r>
      <w:r w:rsidR="000D18B4">
        <w:rPr>
          <w:rFonts w:eastAsia="Times New Roman" w:cs="Calibri"/>
        </w:rPr>
        <w:t xml:space="preserve">The following grounds </w:t>
      </w:r>
      <w:r w:rsidR="000D18B4" w:rsidRPr="004814A4">
        <w:rPr>
          <w:rFonts w:eastAsia="Times New Roman" w:cs="Calibri"/>
        </w:rPr>
        <w:t xml:space="preserve">for evictions </w:t>
      </w:r>
      <w:r w:rsidR="000D18B4">
        <w:rPr>
          <w:rFonts w:eastAsia="Times New Roman" w:cs="Calibri"/>
        </w:rPr>
        <w:t xml:space="preserve">could </w:t>
      </w:r>
      <w:r w:rsidR="000D18B4" w:rsidRPr="004814A4">
        <w:rPr>
          <w:rFonts w:eastAsia="Times New Roman" w:cs="Calibri"/>
        </w:rPr>
        <w:t xml:space="preserve">be introduced: </w:t>
      </w:r>
    </w:p>
    <w:p w14:paraId="3C17D436" w14:textId="013DAFB2" w:rsidR="000D18B4" w:rsidRPr="004814A4" w:rsidRDefault="007769BD" w:rsidP="004363AF">
      <w:pPr>
        <w:numPr>
          <w:ilvl w:val="0"/>
          <w:numId w:val="27"/>
        </w:numPr>
        <w:spacing w:after="0" w:line="240" w:lineRule="auto"/>
        <w:contextualSpacing/>
        <w:rPr>
          <w:rFonts w:eastAsia="Times New Roman" w:cs="Calibri"/>
        </w:rPr>
      </w:pPr>
      <w:r>
        <w:rPr>
          <w:rFonts w:eastAsia="Times New Roman" w:cs="Calibri"/>
        </w:rPr>
        <w:t>t</w:t>
      </w:r>
      <w:r w:rsidR="000D18B4" w:rsidRPr="004814A4">
        <w:rPr>
          <w:rFonts w:eastAsia="Times New Roman" w:cs="Calibri"/>
        </w:rPr>
        <w:t>he lessor requires the property for their own use, or for the use of a member of their family, as a princip</w:t>
      </w:r>
      <w:r>
        <w:rPr>
          <w:rFonts w:eastAsia="Times New Roman" w:cs="Calibri"/>
        </w:rPr>
        <w:t>al</w:t>
      </w:r>
      <w:r w:rsidR="000D18B4" w:rsidRPr="004814A4">
        <w:rPr>
          <w:rFonts w:eastAsia="Times New Roman" w:cs="Calibri"/>
        </w:rPr>
        <w:t xml:space="preserve"> place of residence (using the same definition of </w:t>
      </w:r>
      <w:r w:rsidR="000D18B4" w:rsidRPr="004814A4">
        <w:rPr>
          <w:rFonts w:eastAsia="Times New Roman" w:cs="Calibri"/>
          <w:i/>
        </w:rPr>
        <w:t xml:space="preserve">family </w:t>
      </w:r>
      <w:r w:rsidR="000D18B4" w:rsidRPr="004814A4">
        <w:rPr>
          <w:rFonts w:eastAsia="Times New Roman" w:cs="Calibri"/>
        </w:rPr>
        <w:t>that applies at section 42(5) of the Tasmanian legislation)</w:t>
      </w:r>
    </w:p>
    <w:p w14:paraId="7934E040" w14:textId="664711FB" w:rsidR="000D18B4" w:rsidRPr="004814A4" w:rsidRDefault="007769BD" w:rsidP="004363AF">
      <w:pPr>
        <w:numPr>
          <w:ilvl w:val="0"/>
          <w:numId w:val="27"/>
        </w:numPr>
        <w:spacing w:after="0" w:line="240" w:lineRule="auto"/>
        <w:contextualSpacing/>
        <w:rPr>
          <w:rFonts w:eastAsia="Times New Roman" w:cs="Calibri"/>
        </w:rPr>
      </w:pPr>
      <w:r>
        <w:rPr>
          <w:rFonts w:eastAsia="Times New Roman" w:cs="Calibri"/>
        </w:rPr>
        <w:t>s</w:t>
      </w:r>
      <w:r w:rsidR="000D18B4" w:rsidRPr="004814A4">
        <w:rPr>
          <w:rFonts w:eastAsia="Times New Roman" w:cs="Calibri"/>
        </w:rPr>
        <w:t>ignificant repair or renovations are to be performed in respect of the premises, such that continued occupation of the premises cannot be accommodated for a period of four weeks or longer</w:t>
      </w:r>
    </w:p>
    <w:p w14:paraId="7C8BDFC6" w14:textId="418922F0" w:rsidR="000D18B4" w:rsidRPr="004814A4" w:rsidRDefault="007769BD" w:rsidP="004363AF">
      <w:pPr>
        <w:numPr>
          <w:ilvl w:val="0"/>
          <w:numId w:val="27"/>
        </w:numPr>
        <w:spacing w:after="0" w:line="240" w:lineRule="auto"/>
        <w:contextualSpacing/>
        <w:rPr>
          <w:rFonts w:eastAsia="Times New Roman" w:cs="Calibri"/>
        </w:rPr>
      </w:pPr>
      <w:r>
        <w:rPr>
          <w:rFonts w:eastAsia="Times New Roman" w:cs="Calibri"/>
        </w:rPr>
        <w:t>t</w:t>
      </w:r>
      <w:r w:rsidR="000D18B4" w:rsidRPr="004814A4">
        <w:rPr>
          <w:rFonts w:eastAsia="Times New Roman" w:cs="Calibri"/>
        </w:rPr>
        <w:t xml:space="preserve">he lessor specifies a purpose that is, in the circumstances of the case and in the opinion of the </w:t>
      </w:r>
      <w:r w:rsidR="00035BA9">
        <w:rPr>
          <w:rFonts w:eastAsia="Times New Roman" w:cs="Calibri"/>
        </w:rPr>
        <w:t xml:space="preserve">Queensland Civil and Administrative </w:t>
      </w:r>
      <w:r w:rsidR="000D18B4" w:rsidRPr="004814A4">
        <w:rPr>
          <w:rFonts w:eastAsia="Times New Roman" w:cs="Calibri"/>
        </w:rPr>
        <w:t>Tribunal, sufficient to justify termination (</w:t>
      </w:r>
      <w:r w:rsidR="008D48F6">
        <w:rPr>
          <w:rFonts w:eastAsia="Times New Roman" w:cs="Calibri"/>
        </w:rPr>
        <w:t>for example,</w:t>
      </w:r>
      <w:r w:rsidR="000D18B4" w:rsidRPr="004814A4">
        <w:rPr>
          <w:rFonts w:eastAsia="Times New Roman" w:cs="Calibri"/>
        </w:rPr>
        <w:t xml:space="preserve"> extraneous circumstances)</w:t>
      </w:r>
    </w:p>
    <w:p w14:paraId="1D1497C2" w14:textId="450E34EB" w:rsidR="000D18B4" w:rsidRPr="004814A4" w:rsidRDefault="007769BD" w:rsidP="004363AF">
      <w:pPr>
        <w:numPr>
          <w:ilvl w:val="0"/>
          <w:numId w:val="27"/>
        </w:numPr>
        <w:spacing w:after="0" w:line="240" w:lineRule="auto"/>
        <w:contextualSpacing/>
        <w:rPr>
          <w:rFonts w:eastAsia="Times New Roman" w:cs="Calibri"/>
        </w:rPr>
      </w:pPr>
      <w:r>
        <w:rPr>
          <w:rFonts w:eastAsia="Times New Roman" w:cs="Calibri"/>
        </w:rPr>
        <w:t>b</w:t>
      </w:r>
      <w:r w:rsidR="000D18B4" w:rsidRPr="004814A4">
        <w:rPr>
          <w:rFonts w:eastAsia="Times New Roman" w:cs="Calibri"/>
        </w:rPr>
        <w:t>reaches are serious or persistent.</w:t>
      </w:r>
    </w:p>
    <w:p w14:paraId="3A0EA573" w14:textId="77777777" w:rsidR="000D18B4" w:rsidRDefault="000D18B4" w:rsidP="000D18B4">
      <w:pPr>
        <w:contextualSpacing/>
      </w:pPr>
    </w:p>
    <w:p w14:paraId="5EEDFA8D" w14:textId="77777777" w:rsidR="000D18B4" w:rsidRDefault="000D18B4" w:rsidP="000D18B4">
      <w:pPr>
        <w:contextualSpacing/>
      </w:pPr>
    </w:p>
    <w:p w14:paraId="24B5D8E9" w14:textId="77777777" w:rsidR="00157D8B" w:rsidRDefault="00157D8B" w:rsidP="000D18B4">
      <w:pPr>
        <w:contextualSpacing/>
      </w:pPr>
    </w:p>
    <w:p w14:paraId="6F4F2EFE" w14:textId="77777777" w:rsidR="00157D8B" w:rsidRDefault="00157D8B" w:rsidP="000D18B4">
      <w:pPr>
        <w:contextualSpacing/>
      </w:pPr>
    </w:p>
    <w:p w14:paraId="4BCAC9FF" w14:textId="77777777" w:rsidR="00157D8B" w:rsidRDefault="00157D8B" w:rsidP="000D18B4">
      <w:pPr>
        <w:contextualSpacing/>
      </w:pPr>
    </w:p>
    <w:p w14:paraId="3DB42210" w14:textId="77777777" w:rsidR="00157D8B" w:rsidRDefault="00157D8B" w:rsidP="000D18B4">
      <w:pPr>
        <w:contextualSpacing/>
      </w:pPr>
    </w:p>
    <w:p w14:paraId="428BA544" w14:textId="77777777" w:rsidR="00157D8B" w:rsidRDefault="00157D8B" w:rsidP="000D18B4">
      <w:pPr>
        <w:contextualSpacing/>
      </w:pPr>
    </w:p>
    <w:p w14:paraId="024FF94C" w14:textId="77777777" w:rsidR="00157D8B" w:rsidRDefault="00157D8B" w:rsidP="000D18B4">
      <w:pPr>
        <w:contextualSpacing/>
      </w:pPr>
    </w:p>
    <w:p w14:paraId="511B990C" w14:textId="77777777" w:rsidR="00157D8B" w:rsidRDefault="00157D8B" w:rsidP="000D18B4">
      <w:pPr>
        <w:contextualSpacing/>
      </w:pPr>
    </w:p>
    <w:p w14:paraId="2ACB434B" w14:textId="0057EF4E" w:rsidR="00244CC3" w:rsidRDefault="00244CC3">
      <w:pPr>
        <w:spacing w:after="200" w:line="276" w:lineRule="auto"/>
      </w:pPr>
      <w:r>
        <w:br w:type="page"/>
      </w:r>
    </w:p>
    <w:p w14:paraId="52E16E3C" w14:textId="77777777" w:rsidR="00157D8B" w:rsidRDefault="00157D8B" w:rsidP="000D18B4">
      <w:pPr>
        <w:contextualSpacing/>
      </w:pPr>
    </w:p>
    <w:p w14:paraId="2D4ED368" w14:textId="77777777" w:rsidR="00157D8B" w:rsidRDefault="00157D8B" w:rsidP="000D18B4">
      <w:pPr>
        <w:contextualSpacing/>
      </w:pPr>
    </w:p>
    <w:tbl>
      <w:tblPr>
        <w:tblStyle w:val="TableGrid"/>
        <w:tblW w:w="0" w:type="auto"/>
        <w:tblLook w:val="04A0" w:firstRow="1" w:lastRow="0" w:firstColumn="1" w:lastColumn="0" w:noHBand="0" w:noVBand="1"/>
      </w:tblPr>
      <w:tblGrid>
        <w:gridCol w:w="9322"/>
      </w:tblGrid>
      <w:tr w:rsidR="000D18B4" w14:paraId="3059ECAB" w14:textId="77777777" w:rsidTr="00BA3344">
        <w:tc>
          <w:tcPr>
            <w:tcW w:w="9548" w:type="dxa"/>
          </w:tcPr>
          <w:p w14:paraId="6AB1E1E4" w14:textId="11079D8A" w:rsidR="000D18B4" w:rsidRPr="00A54C64" w:rsidRDefault="00410AA2" w:rsidP="0005526D">
            <w:pPr>
              <w:spacing w:line="240" w:lineRule="auto"/>
              <w:rPr>
                <w:rFonts w:cs="Times New Roman"/>
              </w:rPr>
            </w:pPr>
            <w:r>
              <w:rPr>
                <w:rFonts w:asciiTheme="majorHAnsi" w:eastAsiaTheme="majorEastAsia" w:hAnsiTheme="majorHAnsi" w:cs="Times New Roman"/>
                <w:b/>
                <w:sz w:val="26"/>
                <w:szCs w:val="26"/>
              </w:rPr>
              <w:t xml:space="preserve">5.7 </w:t>
            </w:r>
            <w:r w:rsidR="000D18B4" w:rsidRPr="00A54C64">
              <w:rPr>
                <w:rFonts w:asciiTheme="majorHAnsi" w:eastAsiaTheme="majorEastAsia" w:hAnsiTheme="majorHAnsi" w:cs="Times New Roman"/>
                <w:b/>
                <w:sz w:val="26"/>
                <w:szCs w:val="26"/>
              </w:rPr>
              <w:t xml:space="preserve">Recommendations - Individual </w:t>
            </w:r>
            <w:r w:rsidR="00157D8B" w:rsidRPr="00A54C64">
              <w:rPr>
                <w:rFonts w:asciiTheme="majorHAnsi" w:eastAsiaTheme="majorEastAsia" w:hAnsiTheme="majorHAnsi" w:cs="Times New Roman"/>
                <w:b/>
                <w:sz w:val="26"/>
                <w:szCs w:val="26"/>
              </w:rPr>
              <w:t>r</w:t>
            </w:r>
            <w:r w:rsidR="000D18B4" w:rsidRPr="00A54C64">
              <w:rPr>
                <w:rFonts w:asciiTheme="majorHAnsi" w:eastAsiaTheme="majorEastAsia" w:hAnsiTheme="majorHAnsi" w:cs="Times New Roman"/>
                <w:b/>
                <w:sz w:val="26"/>
                <w:szCs w:val="26"/>
              </w:rPr>
              <w:t xml:space="preserve">esilience </w:t>
            </w:r>
          </w:p>
          <w:p w14:paraId="57C0B378" w14:textId="77777777" w:rsidR="000B3FB6" w:rsidRPr="00A54C64" w:rsidRDefault="000B3FB6" w:rsidP="00E338E7">
            <w:pPr>
              <w:pStyle w:val="ListParagraph"/>
              <w:numPr>
                <w:ilvl w:val="0"/>
                <w:numId w:val="51"/>
              </w:numPr>
              <w:tabs>
                <w:tab w:val="left" w:pos="2118"/>
                <w:tab w:val="right" w:leader="dot" w:pos="9322"/>
              </w:tabs>
              <w:spacing w:after="120" w:line="257" w:lineRule="auto"/>
              <w:ind w:left="357" w:hanging="357"/>
            </w:pPr>
            <w:r w:rsidRPr="00A54C64">
              <w:t>That the Queensland Government assist vulnerable older people to access and maintain appropriate housing by:</w:t>
            </w:r>
          </w:p>
          <w:p w14:paraId="16B1F05E" w14:textId="77777777" w:rsidR="000B3FB6" w:rsidRPr="00A54C64" w:rsidRDefault="000B3FB6" w:rsidP="004363AF">
            <w:pPr>
              <w:numPr>
                <w:ilvl w:val="0"/>
                <w:numId w:val="31"/>
              </w:numPr>
              <w:spacing w:line="256" w:lineRule="auto"/>
              <w:contextualSpacing/>
              <w:rPr>
                <w:lang w:eastAsia="en-AU"/>
              </w:rPr>
            </w:pPr>
            <w:r w:rsidRPr="00A54C64">
              <w:t>exploring options for reducing the barriers, including financial, structural and social, that discourage or prevent older people from moving or ‘right-sizing’</w:t>
            </w:r>
            <w:r w:rsidRPr="00A54C64">
              <w:rPr>
                <w:vertAlign w:val="superscript"/>
              </w:rPr>
              <w:footnoteReference w:id="51"/>
            </w:r>
            <w:r w:rsidRPr="00A54C64">
              <w:t xml:space="preserve"> (for example, consideration could be given to older people in exceptional circumstances receiving assistance such as stamp duty concessions) </w:t>
            </w:r>
          </w:p>
          <w:p w14:paraId="435EFD98" w14:textId="77777777" w:rsidR="000B3FB6" w:rsidRPr="00A54C64" w:rsidRDefault="000B3FB6" w:rsidP="004363AF">
            <w:pPr>
              <w:numPr>
                <w:ilvl w:val="0"/>
                <w:numId w:val="31"/>
              </w:numPr>
              <w:spacing w:line="256" w:lineRule="auto"/>
              <w:contextualSpacing/>
              <w:rPr>
                <w:lang w:eastAsia="en-AU"/>
              </w:rPr>
            </w:pPr>
            <w:r w:rsidRPr="00A54C64">
              <w:rPr>
                <w:lang w:eastAsia="en-AU"/>
              </w:rPr>
              <w:t>making representation to the Australian Government for a national seniors housing policy, which addresses the Commonwealth barriers to right-sizing</w:t>
            </w:r>
          </w:p>
          <w:p w14:paraId="2E3399F2" w14:textId="77777777" w:rsidR="000B3FB6" w:rsidRPr="00A54C64" w:rsidRDefault="000B3FB6" w:rsidP="004363AF">
            <w:pPr>
              <w:numPr>
                <w:ilvl w:val="0"/>
                <w:numId w:val="31"/>
              </w:numPr>
              <w:spacing w:line="256" w:lineRule="auto"/>
              <w:contextualSpacing/>
              <w:rPr>
                <w:lang w:eastAsia="en-AU"/>
              </w:rPr>
            </w:pPr>
            <w:r w:rsidRPr="00A54C64">
              <w:rPr>
                <w:lang w:eastAsia="en-AU"/>
              </w:rPr>
              <w:t xml:space="preserve">reviewing all current and potential concessions and their accessibility, to ensure they meet the needs of older people who are most in need of assistance. Concessions need to be available regardless of housing choice, and the availability of concessions needs to be communicated effectively. </w:t>
            </w:r>
          </w:p>
          <w:p w14:paraId="2F961813" w14:textId="77777777" w:rsidR="000B3FB6" w:rsidRPr="00A54C64" w:rsidRDefault="000B3FB6" w:rsidP="0005526D">
            <w:pPr>
              <w:spacing w:line="256" w:lineRule="auto"/>
              <w:ind w:left="720"/>
              <w:contextualSpacing/>
              <w:rPr>
                <w:lang w:eastAsia="en-AU"/>
              </w:rPr>
            </w:pPr>
          </w:p>
          <w:p w14:paraId="0CA597B5" w14:textId="77777777" w:rsidR="000B3FB6" w:rsidRPr="00A54C64" w:rsidRDefault="000B3FB6" w:rsidP="00E338E7">
            <w:pPr>
              <w:pStyle w:val="ListParagraph"/>
              <w:numPr>
                <w:ilvl w:val="0"/>
                <w:numId w:val="51"/>
              </w:numPr>
              <w:tabs>
                <w:tab w:val="left" w:pos="2118"/>
                <w:tab w:val="right" w:leader="dot" w:pos="9322"/>
              </w:tabs>
              <w:spacing w:after="120" w:line="257" w:lineRule="auto"/>
              <w:ind w:left="357" w:hanging="357"/>
              <w:rPr>
                <w:lang w:eastAsia="en-AU"/>
              </w:rPr>
            </w:pPr>
            <w:r w:rsidRPr="00A54C64">
              <w:rPr>
                <w:lang w:eastAsia="en-AU"/>
              </w:rPr>
              <w:t>That the Queensland Government explore mechanisms to support greater security of tenure for older people in private rental housing, which may include:</w:t>
            </w:r>
          </w:p>
          <w:p w14:paraId="47B9B679" w14:textId="77777777" w:rsidR="000B3FB6" w:rsidRPr="00A54C64" w:rsidRDefault="000B3FB6" w:rsidP="004363AF">
            <w:pPr>
              <w:numPr>
                <w:ilvl w:val="0"/>
                <w:numId w:val="32"/>
              </w:numPr>
              <w:spacing w:line="256" w:lineRule="auto"/>
              <w:contextualSpacing/>
              <w:rPr>
                <w:rFonts w:eastAsiaTheme="minorEastAsia"/>
                <w:noProof/>
                <w:lang w:eastAsia="en-AU"/>
              </w:rPr>
            </w:pPr>
            <w:r w:rsidRPr="00A54C64">
              <w:rPr>
                <w:rFonts w:eastAsiaTheme="minorEastAsia"/>
                <w:noProof/>
                <w:lang w:eastAsia="en-AU"/>
              </w:rPr>
              <w:t>working in partnership with other levels of government to strengthen assistance to people in private rental housing who are at risk of homelessness</w:t>
            </w:r>
          </w:p>
          <w:p w14:paraId="3A9A10E1" w14:textId="77777777" w:rsidR="000B3FB6" w:rsidRPr="00A54C64" w:rsidRDefault="000B3FB6" w:rsidP="004363AF">
            <w:pPr>
              <w:numPr>
                <w:ilvl w:val="0"/>
                <w:numId w:val="32"/>
              </w:numPr>
              <w:spacing w:line="256" w:lineRule="auto"/>
              <w:contextualSpacing/>
              <w:rPr>
                <w:rFonts w:eastAsiaTheme="minorEastAsia"/>
                <w:noProof/>
                <w:lang w:eastAsia="en-AU"/>
              </w:rPr>
            </w:pPr>
            <w:r w:rsidRPr="00A54C64">
              <w:rPr>
                <w:rFonts w:eastAsiaTheme="minorEastAsia"/>
                <w:noProof/>
                <w:lang w:eastAsia="en-AU"/>
              </w:rPr>
              <w:t xml:space="preserve">providing incentives for private rental landlords to have their housing modified in line with universal housing design principles </w:t>
            </w:r>
          </w:p>
          <w:p w14:paraId="4386682C" w14:textId="77777777" w:rsidR="000B3FB6" w:rsidRPr="00A54C64" w:rsidRDefault="000B3FB6" w:rsidP="004363AF">
            <w:pPr>
              <w:numPr>
                <w:ilvl w:val="0"/>
                <w:numId w:val="32"/>
              </w:numPr>
              <w:spacing w:line="256" w:lineRule="auto"/>
              <w:contextualSpacing/>
              <w:rPr>
                <w:rFonts w:eastAsiaTheme="minorEastAsia"/>
                <w:noProof/>
                <w:lang w:eastAsia="en-AU"/>
              </w:rPr>
            </w:pPr>
            <w:r w:rsidRPr="00A54C64">
              <w:rPr>
                <w:rFonts w:eastAsiaTheme="minorEastAsia"/>
                <w:noProof/>
                <w:lang w:eastAsia="en-AU"/>
              </w:rPr>
              <w:t xml:space="preserve">partnering with relevant bodies, such as the REIQ, to advocate to landlords the benefits of letting to older tenants </w:t>
            </w:r>
          </w:p>
          <w:p w14:paraId="1657310F" w14:textId="77777777" w:rsidR="000B3FB6" w:rsidRPr="00A54C64" w:rsidRDefault="000B3FB6" w:rsidP="004363AF">
            <w:pPr>
              <w:numPr>
                <w:ilvl w:val="0"/>
                <w:numId w:val="32"/>
              </w:numPr>
              <w:spacing w:line="256" w:lineRule="auto"/>
              <w:contextualSpacing/>
              <w:rPr>
                <w:rFonts w:eastAsiaTheme="minorEastAsia"/>
                <w:noProof/>
                <w:lang w:eastAsia="en-AU"/>
              </w:rPr>
            </w:pPr>
            <w:r w:rsidRPr="00A54C64">
              <w:rPr>
                <w:rFonts w:eastAsiaTheme="minorEastAsia"/>
                <w:noProof/>
                <w:lang w:eastAsia="en-AU"/>
              </w:rPr>
              <w:t xml:space="preserve">promoting greater security of tenure through mechanisms such as ‘just cause eviction’ and withdrawal of ‘without grounds terminations’ </w:t>
            </w:r>
          </w:p>
          <w:p w14:paraId="2A01D475" w14:textId="77777777" w:rsidR="000B3FB6" w:rsidRPr="00A54C64" w:rsidRDefault="000B3FB6" w:rsidP="004363AF">
            <w:pPr>
              <w:numPr>
                <w:ilvl w:val="0"/>
                <w:numId w:val="32"/>
              </w:numPr>
              <w:spacing w:line="256" w:lineRule="auto"/>
              <w:contextualSpacing/>
              <w:rPr>
                <w:rFonts w:eastAsiaTheme="minorEastAsia"/>
                <w:noProof/>
                <w:lang w:eastAsia="en-AU"/>
              </w:rPr>
            </w:pPr>
            <w:r w:rsidRPr="00A54C64">
              <w:rPr>
                <w:rFonts w:eastAsiaTheme="minorEastAsia"/>
                <w:noProof/>
                <w:lang w:eastAsia="en-AU"/>
              </w:rPr>
              <w:t xml:space="preserve">reviewing tenancy law and addressing any impacts that may cause disadvantage. </w:t>
            </w:r>
          </w:p>
          <w:p w14:paraId="2C266C77" w14:textId="77777777" w:rsidR="000B3FB6" w:rsidRPr="00A54C64" w:rsidRDefault="000B3FB6" w:rsidP="0005526D">
            <w:pPr>
              <w:spacing w:line="256" w:lineRule="auto"/>
              <w:ind w:left="720"/>
              <w:contextualSpacing/>
              <w:rPr>
                <w:rFonts w:eastAsiaTheme="minorEastAsia"/>
                <w:noProof/>
                <w:lang w:eastAsia="en-AU"/>
              </w:rPr>
            </w:pPr>
          </w:p>
          <w:p w14:paraId="23405556" w14:textId="77777777" w:rsidR="000B3FB6" w:rsidRPr="00A54C64" w:rsidRDefault="000B3FB6" w:rsidP="00E338E7">
            <w:pPr>
              <w:pStyle w:val="ListParagraph"/>
              <w:numPr>
                <w:ilvl w:val="0"/>
                <w:numId w:val="51"/>
              </w:numPr>
              <w:tabs>
                <w:tab w:val="left" w:pos="2118"/>
                <w:tab w:val="right" w:leader="dot" w:pos="9322"/>
              </w:tabs>
              <w:spacing w:after="120" w:line="257" w:lineRule="auto"/>
              <w:ind w:left="357" w:hanging="357"/>
              <w:rPr>
                <w:noProof/>
                <w:lang w:eastAsia="en-AU"/>
              </w:rPr>
            </w:pPr>
            <w:r w:rsidRPr="00A54C64">
              <w:rPr>
                <w:lang w:eastAsia="en-AU"/>
              </w:rPr>
              <w:t>That the Queensland Government takes a leadership role in supporting individuals to plan for their housing future including:</w:t>
            </w:r>
          </w:p>
          <w:p w14:paraId="76168CFF" w14:textId="77777777" w:rsidR="000B3FB6" w:rsidRPr="00A54C64" w:rsidRDefault="000B3FB6" w:rsidP="004363AF">
            <w:pPr>
              <w:numPr>
                <w:ilvl w:val="0"/>
                <w:numId w:val="33"/>
              </w:numPr>
              <w:spacing w:line="256" w:lineRule="auto"/>
              <w:contextualSpacing/>
              <w:rPr>
                <w:lang w:eastAsia="en-AU"/>
              </w:rPr>
            </w:pPr>
            <w:r w:rsidRPr="00A54C64">
              <w:rPr>
                <w:lang w:eastAsia="en-AU"/>
              </w:rPr>
              <w:t>developing a long term engagement and communication strategy about options and opportunities to facilitate early planning for housing choices and financial security, including encouraging older home owners to renovate their homes (in line with universal housing design guidelines) to accommodate future needs</w:t>
            </w:r>
          </w:p>
          <w:p w14:paraId="5A2BFAC9" w14:textId="77777777" w:rsidR="000B3FB6" w:rsidRPr="00A54C64" w:rsidRDefault="000B3FB6" w:rsidP="004363AF">
            <w:pPr>
              <w:numPr>
                <w:ilvl w:val="0"/>
                <w:numId w:val="33"/>
              </w:numPr>
              <w:spacing w:line="256" w:lineRule="auto"/>
              <w:contextualSpacing/>
              <w:rPr>
                <w:lang w:eastAsia="en-AU"/>
              </w:rPr>
            </w:pPr>
            <w:r w:rsidRPr="00A54C64">
              <w:rPr>
                <w:lang w:eastAsia="en-AU"/>
              </w:rPr>
              <w:t xml:space="preserve">exploring options to improve current financial literacy efforts, particularly for Queensland’s older people, consistent with the </w:t>
            </w:r>
            <w:r w:rsidRPr="00A54C64">
              <w:rPr>
                <w:i/>
                <w:lang w:eastAsia="en-AU"/>
              </w:rPr>
              <w:t>Inquiry into the adequacy of existing financial protections of Queensland’s seniors</w:t>
            </w:r>
            <w:r w:rsidRPr="00A54C64">
              <w:rPr>
                <w:lang w:eastAsia="en-AU"/>
              </w:rPr>
              <w:t xml:space="preserve"> recommendations</w:t>
            </w:r>
          </w:p>
          <w:p w14:paraId="6440DD70" w14:textId="77777777" w:rsidR="000B3FB6" w:rsidRPr="00A54C64" w:rsidRDefault="000B3FB6" w:rsidP="004363AF">
            <w:pPr>
              <w:numPr>
                <w:ilvl w:val="0"/>
                <w:numId w:val="33"/>
              </w:numPr>
              <w:spacing w:line="256" w:lineRule="auto"/>
              <w:contextualSpacing/>
              <w:rPr>
                <w:lang w:eastAsia="en-AU"/>
              </w:rPr>
            </w:pPr>
            <w:r w:rsidRPr="00A54C64">
              <w:rPr>
                <w:lang w:eastAsia="en-AU"/>
              </w:rPr>
              <w:t>considering opportunities for engaging with young people on topics such as financial literacy, money management, superannuation, compound interest and the advantages of saving in order to begin financial education at an early age.</w:t>
            </w:r>
          </w:p>
          <w:p w14:paraId="14B239F0" w14:textId="77777777" w:rsidR="00DC7291" w:rsidRPr="00A54C64" w:rsidRDefault="000B3FB6" w:rsidP="00E338E7">
            <w:pPr>
              <w:pStyle w:val="ListParagraph"/>
              <w:numPr>
                <w:ilvl w:val="0"/>
                <w:numId w:val="44"/>
              </w:numPr>
              <w:spacing w:after="0"/>
            </w:pPr>
            <w:r w:rsidRPr="00A54C64">
              <w:t>That the Queensland Government advocate to the Australian Government for adequate places to be available for fully-subsidised seniors to enter residential aged care within reasonable wait times.</w:t>
            </w:r>
          </w:p>
          <w:p w14:paraId="79A703CC" w14:textId="77777777" w:rsidR="00A54C64" w:rsidRPr="00A54C64" w:rsidRDefault="00A54C64" w:rsidP="00A54C64">
            <w:pPr>
              <w:spacing w:after="0"/>
            </w:pPr>
          </w:p>
          <w:p w14:paraId="646FCEB5" w14:textId="0F44436C" w:rsidR="000D18B4" w:rsidRPr="00A54C64" w:rsidRDefault="000B3FB6" w:rsidP="00E338E7">
            <w:pPr>
              <w:pStyle w:val="ListParagraph"/>
              <w:numPr>
                <w:ilvl w:val="0"/>
                <w:numId w:val="44"/>
              </w:numPr>
              <w:spacing w:after="0"/>
            </w:pPr>
            <w:r w:rsidRPr="00A54C64">
              <w:lastRenderedPageBreak/>
              <w:t xml:space="preserve">That the Queensland Government, with relevant partners, develop innovative strategies to support older people with a disability, including dementia, who are living in social housing, private rental housing or are homeless, to remain in their own homes or transition to more supportive housing. </w:t>
            </w:r>
          </w:p>
        </w:tc>
      </w:tr>
    </w:tbl>
    <w:p w14:paraId="17BC40CC" w14:textId="48DB2D6C" w:rsidR="000D18B4" w:rsidRPr="009B5874" w:rsidRDefault="00DC7291" w:rsidP="00A54C64">
      <w:pPr>
        <w:pStyle w:val="Heading1"/>
      </w:pPr>
      <w:r>
        <w:lastRenderedPageBreak/>
        <w:br w:type="page"/>
      </w:r>
      <w:bookmarkStart w:id="779" w:name="_Toc460257506"/>
      <w:r w:rsidR="00794231">
        <w:lastRenderedPageBreak/>
        <w:t>FINDINGS – HOME RESILIENCE</w:t>
      </w:r>
      <w:bookmarkEnd w:id="779"/>
    </w:p>
    <w:p w14:paraId="2C0E983E" w14:textId="0D8F6E24" w:rsidR="000D18B4" w:rsidRPr="006B60A3" w:rsidRDefault="000D18B4" w:rsidP="000D18B4">
      <w:pPr>
        <w:rPr>
          <w:rFonts w:eastAsia="Times New Roman" w:cs="Times New Roman"/>
          <w:color w:val="4F81BD" w:themeColor="accent1"/>
        </w:rPr>
      </w:pPr>
      <w:r w:rsidRPr="006B60A3">
        <w:rPr>
          <w:rFonts w:eastAsia="Times New Roman" w:cs="Times New Roman"/>
          <w:color w:val="4F81BD" w:themeColor="accent1"/>
        </w:rPr>
        <w:t xml:space="preserve">Home </w:t>
      </w:r>
      <w:r w:rsidR="006E46B1">
        <w:rPr>
          <w:rFonts w:eastAsia="Times New Roman" w:cs="Times New Roman"/>
          <w:color w:val="4F81BD" w:themeColor="accent1"/>
        </w:rPr>
        <w:t>r</w:t>
      </w:r>
      <w:r w:rsidRPr="006B60A3">
        <w:rPr>
          <w:rFonts w:eastAsia="Times New Roman" w:cs="Times New Roman"/>
          <w:color w:val="4F81BD" w:themeColor="accent1"/>
        </w:rPr>
        <w:t>esilience refers to the factors impacting the individual dwelling, such as its design and accessibility, proximity to services and transport</w:t>
      </w:r>
      <w:r w:rsidR="006E46B1">
        <w:rPr>
          <w:rFonts w:eastAsia="Times New Roman" w:cs="Times New Roman"/>
          <w:color w:val="4F81BD" w:themeColor="accent1"/>
        </w:rPr>
        <w:t>,</w:t>
      </w:r>
      <w:r w:rsidRPr="006B60A3">
        <w:rPr>
          <w:rFonts w:eastAsia="Times New Roman" w:cs="Times New Roman"/>
          <w:color w:val="4F81BD" w:themeColor="accent1"/>
        </w:rPr>
        <w:t xml:space="preserve"> and the age-friendliness of the local community.</w:t>
      </w:r>
    </w:p>
    <w:p w14:paraId="46F35CF6" w14:textId="77777777" w:rsidR="000D18B4" w:rsidRPr="0005526D" w:rsidRDefault="000D18B4" w:rsidP="000D18B4">
      <w:pPr>
        <w:spacing w:line="240" w:lineRule="auto"/>
        <w:rPr>
          <w:rFonts w:asciiTheme="majorHAnsi" w:eastAsiaTheme="majorEastAsia" w:hAnsiTheme="majorHAnsi" w:cs="Times New Roman"/>
          <w:color w:val="365F91" w:themeColor="accent1" w:themeShade="BF"/>
          <w:sz w:val="26"/>
          <w:szCs w:val="26"/>
        </w:rPr>
      </w:pPr>
      <w:r w:rsidRPr="0005526D">
        <w:rPr>
          <w:rFonts w:asciiTheme="majorHAnsi" w:eastAsiaTheme="majorEastAsia" w:hAnsiTheme="majorHAnsi" w:cs="Times New Roman"/>
          <w:color w:val="365F91" w:themeColor="accent1" w:themeShade="BF"/>
          <w:sz w:val="26"/>
          <w:szCs w:val="26"/>
        </w:rPr>
        <w:t>What success looks like</w:t>
      </w:r>
    </w:p>
    <w:p w14:paraId="01422C6D" w14:textId="513CAE39" w:rsidR="000D18B4" w:rsidRDefault="000D18B4" w:rsidP="000D18B4">
      <w:pPr>
        <w:spacing w:line="240" w:lineRule="auto"/>
        <w:rPr>
          <w:rFonts w:eastAsia="Times New Roman" w:cs="Times New Roman"/>
        </w:rPr>
      </w:pPr>
      <w:r w:rsidRPr="001B0F30">
        <w:rPr>
          <w:rFonts w:eastAsia="Times New Roman" w:cs="Times New Roman"/>
        </w:rPr>
        <w:t>Housing for older people is located within age-friendly communities where older people can actively contribute to</w:t>
      </w:r>
      <w:r w:rsidR="006E46B1">
        <w:rPr>
          <w:rFonts w:eastAsia="Times New Roman" w:cs="Times New Roman"/>
        </w:rPr>
        <w:t>,</w:t>
      </w:r>
      <w:r w:rsidRPr="001B0F30">
        <w:rPr>
          <w:rFonts w:eastAsia="Times New Roman" w:cs="Times New Roman"/>
        </w:rPr>
        <w:t xml:space="preserve"> and participate in</w:t>
      </w:r>
      <w:r w:rsidR="006E46B1">
        <w:rPr>
          <w:rFonts w:eastAsia="Times New Roman" w:cs="Times New Roman"/>
        </w:rPr>
        <w:t>,</w:t>
      </w:r>
      <w:r w:rsidRPr="001B0F30">
        <w:rPr>
          <w:rFonts w:eastAsia="Times New Roman" w:cs="Times New Roman"/>
        </w:rPr>
        <w:t xml:space="preserve"> community life. Ideally, all housing types are built to design standards that </w:t>
      </w:r>
      <w:r w:rsidR="004D380D">
        <w:rPr>
          <w:rFonts w:eastAsia="Times New Roman" w:cs="Times New Roman"/>
        </w:rPr>
        <w:t>can adapt t</w:t>
      </w:r>
      <w:r w:rsidRPr="001B0F30">
        <w:rPr>
          <w:rFonts w:eastAsia="Times New Roman" w:cs="Times New Roman"/>
        </w:rPr>
        <w:t>o personal needs and preferences throughout</w:t>
      </w:r>
      <w:r>
        <w:rPr>
          <w:rFonts w:eastAsia="Times New Roman" w:cs="Times New Roman"/>
        </w:rPr>
        <w:t xml:space="preserve"> </w:t>
      </w:r>
      <w:r w:rsidR="004D380D">
        <w:rPr>
          <w:rFonts w:eastAsia="Times New Roman" w:cs="Times New Roman"/>
        </w:rPr>
        <w:t>a person’s life</w:t>
      </w:r>
      <w:r w:rsidR="006E46B1">
        <w:rPr>
          <w:rFonts w:eastAsia="Times New Roman" w:cs="Times New Roman"/>
        </w:rPr>
        <w:t>. The design</w:t>
      </w:r>
      <w:r w:rsidRPr="001B0F30">
        <w:rPr>
          <w:rFonts w:eastAsia="Times New Roman" w:cs="Times New Roman"/>
        </w:rPr>
        <w:t xml:space="preserve"> allow</w:t>
      </w:r>
      <w:r w:rsidR="006E46B1">
        <w:rPr>
          <w:rFonts w:eastAsia="Times New Roman" w:cs="Times New Roman"/>
        </w:rPr>
        <w:t>s</w:t>
      </w:r>
      <w:r w:rsidRPr="001B0F30">
        <w:rPr>
          <w:rFonts w:eastAsia="Times New Roman" w:cs="Times New Roman"/>
        </w:rPr>
        <w:t xml:space="preserve"> the home to be modified simply and cheaply, either for the first occupants as their needs change or for future occupants. </w:t>
      </w:r>
      <w:r w:rsidR="008D48F6">
        <w:rPr>
          <w:rFonts w:eastAsia="Times New Roman" w:cs="Times New Roman"/>
        </w:rPr>
        <w:t>Ideally, h</w:t>
      </w:r>
      <w:r w:rsidRPr="001B0F30">
        <w:rPr>
          <w:rFonts w:eastAsia="Times New Roman" w:cs="Times New Roman"/>
        </w:rPr>
        <w:t xml:space="preserve">ousing is </w:t>
      </w:r>
      <w:r w:rsidR="008D48F6">
        <w:rPr>
          <w:rFonts w:eastAsia="Times New Roman" w:cs="Times New Roman"/>
        </w:rPr>
        <w:t>l</w:t>
      </w:r>
      <w:r w:rsidRPr="001B0F30">
        <w:rPr>
          <w:rFonts w:eastAsia="Times New Roman" w:cs="Times New Roman"/>
        </w:rPr>
        <w:t>ocated close to services and transport options.</w:t>
      </w:r>
    </w:p>
    <w:p w14:paraId="62AF0A04" w14:textId="5AC75560" w:rsidR="000D18B4" w:rsidRDefault="000D18B4" w:rsidP="000D18B4">
      <w:pPr>
        <w:spacing w:line="240" w:lineRule="auto"/>
        <w:rPr>
          <w:rFonts w:eastAsia="Times New Roman" w:cs="Times New Roman"/>
        </w:rPr>
      </w:pPr>
      <w:r w:rsidRPr="001B0F30">
        <w:rPr>
          <w:rFonts w:eastAsia="Times New Roman" w:cs="Times New Roman"/>
        </w:rPr>
        <w:t xml:space="preserve">Policies, legislation and regulation, contracts and other documents and procedures </w:t>
      </w:r>
      <w:r w:rsidR="006E46B1">
        <w:rPr>
          <w:rFonts w:eastAsia="Times New Roman" w:cs="Times New Roman"/>
        </w:rPr>
        <w:t xml:space="preserve">relating to housing </w:t>
      </w:r>
      <w:r w:rsidRPr="001B0F30">
        <w:rPr>
          <w:rFonts w:eastAsia="Times New Roman" w:cs="Times New Roman"/>
        </w:rPr>
        <w:t>are simple</w:t>
      </w:r>
      <w:r w:rsidR="006E46B1">
        <w:rPr>
          <w:rFonts w:eastAsia="Times New Roman" w:cs="Times New Roman"/>
        </w:rPr>
        <w:t xml:space="preserve"> and</w:t>
      </w:r>
      <w:r w:rsidRPr="001B0F30">
        <w:rPr>
          <w:rFonts w:eastAsia="Times New Roman" w:cs="Times New Roman"/>
        </w:rPr>
        <w:t xml:space="preserve"> easy to navigate</w:t>
      </w:r>
      <w:r w:rsidR="006E46B1">
        <w:rPr>
          <w:rFonts w:eastAsia="Times New Roman" w:cs="Times New Roman"/>
        </w:rPr>
        <w:t>. They are</w:t>
      </w:r>
      <w:r w:rsidRPr="001B0F30">
        <w:rPr>
          <w:rFonts w:eastAsia="Times New Roman" w:cs="Times New Roman"/>
        </w:rPr>
        <w:t xml:space="preserve"> regulated, standardised and have the flexibility to support a range of choices for older people. </w:t>
      </w:r>
      <w:r w:rsidR="00180094">
        <w:rPr>
          <w:rFonts w:eastAsia="Times New Roman" w:cs="Times New Roman"/>
        </w:rPr>
        <w:t>Older people have</w:t>
      </w:r>
      <w:r w:rsidRPr="001B0F30">
        <w:rPr>
          <w:rFonts w:eastAsia="Times New Roman" w:cs="Times New Roman"/>
        </w:rPr>
        <w:t xml:space="preserve"> access to objective information about housing options and related services that </w:t>
      </w:r>
      <w:r w:rsidR="00180094">
        <w:rPr>
          <w:rFonts w:eastAsia="Times New Roman" w:cs="Times New Roman"/>
        </w:rPr>
        <w:t>is</w:t>
      </w:r>
      <w:r w:rsidR="00180094" w:rsidRPr="001B0F30">
        <w:rPr>
          <w:rFonts w:eastAsia="Times New Roman" w:cs="Times New Roman"/>
        </w:rPr>
        <w:t xml:space="preserve"> </w:t>
      </w:r>
      <w:r w:rsidRPr="001B0F30">
        <w:rPr>
          <w:rFonts w:eastAsia="Times New Roman" w:cs="Times New Roman"/>
        </w:rPr>
        <w:t>relevant</w:t>
      </w:r>
      <w:r w:rsidR="00180094">
        <w:rPr>
          <w:rFonts w:eastAsia="Times New Roman" w:cs="Times New Roman"/>
        </w:rPr>
        <w:t>,</w:t>
      </w:r>
      <w:r w:rsidRPr="001B0F30">
        <w:rPr>
          <w:rFonts w:eastAsia="Times New Roman" w:cs="Times New Roman"/>
        </w:rPr>
        <w:t xml:space="preserve"> simple to understand and assist</w:t>
      </w:r>
      <w:r w:rsidR="00180094">
        <w:rPr>
          <w:rFonts w:eastAsia="Times New Roman" w:cs="Times New Roman"/>
        </w:rPr>
        <w:t>s</w:t>
      </w:r>
      <w:r w:rsidRPr="001B0F30">
        <w:rPr>
          <w:rFonts w:eastAsia="Times New Roman" w:cs="Times New Roman"/>
        </w:rPr>
        <w:t xml:space="preserve"> people to make informed choices.</w:t>
      </w:r>
      <w:r>
        <w:rPr>
          <w:rFonts w:eastAsia="Times New Roman" w:cs="Times New Roman"/>
        </w:rPr>
        <w:t xml:space="preserve"> Individuals are able to select the pathway most suit</w:t>
      </w:r>
      <w:r w:rsidR="00180094">
        <w:rPr>
          <w:rFonts w:eastAsia="Times New Roman" w:cs="Times New Roman"/>
        </w:rPr>
        <w:t>ed</w:t>
      </w:r>
      <w:r>
        <w:rPr>
          <w:rFonts w:eastAsia="Times New Roman" w:cs="Times New Roman"/>
        </w:rPr>
        <w:t xml:space="preserve"> to their needs and wants.  </w:t>
      </w:r>
    </w:p>
    <w:p w14:paraId="7020330A" w14:textId="24BDB4D9" w:rsidR="000D18B4" w:rsidRPr="00E6290F" w:rsidRDefault="000D18B4" w:rsidP="000D18B4">
      <w:pPr>
        <w:pStyle w:val="Heading2"/>
      </w:pPr>
      <w:bookmarkStart w:id="780" w:name="_Toc460257507"/>
      <w:r>
        <w:t>Housing services, information, legal and contract options</w:t>
      </w:r>
      <w:bookmarkEnd w:id="780"/>
    </w:p>
    <w:tbl>
      <w:tblPr>
        <w:tblStyle w:val="TableGrid"/>
        <w:tblW w:w="0" w:type="auto"/>
        <w:tblLook w:val="04A0" w:firstRow="1" w:lastRow="0" w:firstColumn="1" w:lastColumn="0" w:noHBand="0" w:noVBand="1"/>
      </w:tblPr>
      <w:tblGrid>
        <w:gridCol w:w="9322"/>
      </w:tblGrid>
      <w:tr w:rsidR="000D18B4" w:rsidRPr="00E6290F" w14:paraId="7B68F87D" w14:textId="77777777" w:rsidTr="00BA3344">
        <w:tc>
          <w:tcPr>
            <w:tcW w:w="9548" w:type="dxa"/>
          </w:tcPr>
          <w:p w14:paraId="1E52E80B" w14:textId="77777777" w:rsidR="000D18B4" w:rsidRPr="00E6290F" w:rsidRDefault="000D18B4" w:rsidP="00BA3344">
            <w:pPr>
              <w:pStyle w:val="Boxheading"/>
            </w:pPr>
            <w:r w:rsidRPr="00E6290F">
              <w:t>Issues</w:t>
            </w:r>
          </w:p>
          <w:p w14:paraId="6D9CA691" w14:textId="4798637F" w:rsidR="000D18B4" w:rsidRPr="00E6290F" w:rsidRDefault="00180094" w:rsidP="0005526D">
            <w:pPr>
              <w:pStyle w:val="ListParagraph"/>
              <w:numPr>
                <w:ilvl w:val="0"/>
                <w:numId w:val="7"/>
              </w:numPr>
              <w:spacing w:after="0" w:line="240" w:lineRule="auto"/>
            </w:pPr>
            <w:r>
              <w:t xml:space="preserve">It can be difficult for </w:t>
            </w:r>
            <w:r w:rsidRPr="00E6290F">
              <w:t xml:space="preserve">older </w:t>
            </w:r>
            <w:r>
              <w:t>people</w:t>
            </w:r>
            <w:r w:rsidRPr="00E6290F">
              <w:t xml:space="preserve"> and </w:t>
            </w:r>
            <w:r>
              <w:t xml:space="preserve">their </w:t>
            </w:r>
            <w:r w:rsidRPr="00E6290F">
              <w:t xml:space="preserve">family members </w:t>
            </w:r>
            <w:r>
              <w:t>to o</w:t>
            </w:r>
            <w:r w:rsidR="000D18B4" w:rsidRPr="00E6290F">
              <w:t>btain relevant, reliable, objective information and services</w:t>
            </w:r>
            <w:r>
              <w:t>, for example on financial planning and accommodation options.</w:t>
            </w:r>
            <w:r w:rsidR="000D18B4" w:rsidRPr="00E6290F">
              <w:t xml:space="preserve"> It may be difficult to know what questions </w:t>
            </w:r>
            <w:r>
              <w:t>to ask</w:t>
            </w:r>
            <w:r w:rsidR="000D18B4" w:rsidRPr="00E6290F">
              <w:t xml:space="preserve"> and who to </w:t>
            </w:r>
            <w:r>
              <w:t>consult</w:t>
            </w:r>
            <w:r w:rsidR="000D18B4" w:rsidRPr="00E6290F">
              <w:t>. Older people may need support to make housing transitions, particularly if the transition is due to an unexpected event</w:t>
            </w:r>
            <w:r>
              <w:t xml:space="preserve">, </w:t>
            </w:r>
            <w:r w:rsidR="000D18B4" w:rsidRPr="00E6290F">
              <w:t>such as illness or death of a partner</w:t>
            </w:r>
            <w:r>
              <w:t>.</w:t>
            </w:r>
          </w:p>
          <w:p w14:paraId="2DAEE7D6" w14:textId="48792301" w:rsidR="000D18B4" w:rsidRDefault="000D18B4" w:rsidP="0005526D">
            <w:pPr>
              <w:pStyle w:val="ListParagraph"/>
              <w:numPr>
                <w:ilvl w:val="0"/>
                <w:numId w:val="7"/>
              </w:numPr>
              <w:spacing w:after="0" w:line="240" w:lineRule="auto"/>
            </w:pPr>
            <w:r w:rsidRPr="00E6290F">
              <w:t xml:space="preserve">Legislation, contracts and processes can be complex and confusing. Older people seeking to </w:t>
            </w:r>
            <w:r>
              <w:t>move</w:t>
            </w:r>
            <w:r w:rsidRPr="00E6290F">
              <w:t xml:space="preserve">, or transition to alternative accommodation, may find the options confusing, inappropriate, unavailable or costly. If the challenges are too great, they may postpone </w:t>
            </w:r>
            <w:r w:rsidR="00180094">
              <w:t>an important housing</w:t>
            </w:r>
            <w:r w:rsidR="00180094" w:rsidRPr="00E6290F">
              <w:t xml:space="preserve"> </w:t>
            </w:r>
            <w:r w:rsidRPr="00E6290F">
              <w:t>decision</w:t>
            </w:r>
            <w:r w:rsidR="00180094">
              <w:t>.</w:t>
            </w:r>
          </w:p>
          <w:p w14:paraId="2A00CA98" w14:textId="77777777" w:rsidR="000D18B4" w:rsidRPr="00E6290F" w:rsidRDefault="000D18B4" w:rsidP="00BA3344">
            <w:pPr>
              <w:pStyle w:val="ListParagraph"/>
              <w:spacing w:after="0" w:line="240" w:lineRule="auto"/>
            </w:pPr>
          </w:p>
        </w:tc>
      </w:tr>
    </w:tbl>
    <w:p w14:paraId="0511DA5C" w14:textId="77777777" w:rsidR="000D18B4" w:rsidRPr="004F4196" w:rsidRDefault="000D18B4" w:rsidP="000D18B4">
      <w:pPr>
        <w:rPr>
          <w:b/>
        </w:rPr>
      </w:pPr>
    </w:p>
    <w:p w14:paraId="18F2B425" w14:textId="5D99D38E" w:rsidR="000D18B4" w:rsidRDefault="000D18B4" w:rsidP="00751207">
      <w:pPr>
        <w:spacing w:line="240" w:lineRule="auto"/>
      </w:pPr>
      <w:r>
        <w:t>A major concern of older people is where and how to access advice that is sound, objective and reliable. There are limited sources of information and advice on retirement and housing</w:t>
      </w:r>
      <w:r w:rsidR="00180094">
        <w:t>,</w:t>
      </w:r>
      <w:r>
        <w:t xml:space="preserve"> and it is difficult for older people to know where to access these sources. The Taskforce heard that many people do not actively seek information</w:t>
      </w:r>
      <w:r w:rsidR="00AD39C2">
        <w:t xml:space="preserve"> </w:t>
      </w:r>
      <w:r w:rsidR="008D48F6">
        <w:t>or</w:t>
      </w:r>
      <w:r w:rsidR="00AD39C2">
        <w:t xml:space="preserve"> </w:t>
      </w:r>
      <w:r>
        <w:t xml:space="preserve">research their options, or they may be </w:t>
      </w:r>
      <w:r w:rsidRPr="00751207">
        <w:rPr>
          <w:rFonts w:eastAsia="Times New Roman" w:cs="Times New Roman"/>
        </w:rPr>
        <w:t>overwhelmed</w:t>
      </w:r>
      <w:r>
        <w:t xml:space="preserve"> by the amount of information.  </w:t>
      </w:r>
    </w:p>
    <w:p w14:paraId="3A5AA1CF" w14:textId="33E55859" w:rsidR="000D18B4" w:rsidRDefault="000D18B4" w:rsidP="00751207">
      <w:pPr>
        <w:spacing w:line="240" w:lineRule="auto"/>
      </w:pPr>
      <w:r>
        <w:t>Older people can be affected</w:t>
      </w:r>
      <w:r w:rsidRPr="00ED7431">
        <w:t xml:space="preserve"> by the loss of confidence and direction that comes from losing a partner, or </w:t>
      </w:r>
      <w:r w:rsidR="00AD39C2">
        <w:t>they may be</w:t>
      </w:r>
      <w:r w:rsidR="00AD39C2" w:rsidRPr="00ED7431">
        <w:t xml:space="preserve"> </w:t>
      </w:r>
      <w:r w:rsidRPr="00ED7431">
        <w:t xml:space="preserve">in other types of </w:t>
      </w:r>
      <w:r>
        <w:t xml:space="preserve">changed or forced circumstances such as </w:t>
      </w:r>
      <w:r w:rsidR="008D48F6">
        <w:t>ill health</w:t>
      </w:r>
      <w:r>
        <w:t xml:space="preserve">, and may need support to make decisions about residential transitions. Those who are </w:t>
      </w:r>
      <w:r w:rsidRPr="00096C6A">
        <w:t xml:space="preserve">unable to access social </w:t>
      </w:r>
      <w:r w:rsidR="00AD39C2">
        <w:t xml:space="preserve">or other </w:t>
      </w:r>
      <w:r w:rsidRPr="00096C6A">
        <w:t>sup</w:t>
      </w:r>
      <w:r>
        <w:t xml:space="preserve">port </w:t>
      </w:r>
      <w:r w:rsidRPr="00096C6A">
        <w:t>are not well-positioned to identify their own needs and match them with services.</w:t>
      </w:r>
      <w:r>
        <w:t xml:space="preserve"> </w:t>
      </w:r>
      <w:r w:rsidR="00AD39C2">
        <w:t>Also</w:t>
      </w:r>
      <w:r>
        <w:t xml:space="preserve"> the physical aspect of moving can be difficult for older people, particularly </w:t>
      </w:r>
      <w:r w:rsidR="00AD39C2">
        <w:t xml:space="preserve">if they are </w:t>
      </w:r>
      <w:r>
        <w:t>in poor health</w:t>
      </w:r>
      <w:r w:rsidR="00AD39C2">
        <w:t>.</w:t>
      </w:r>
      <w:r>
        <w:t xml:space="preserve">  </w:t>
      </w:r>
    </w:p>
    <w:p w14:paraId="528E864D" w14:textId="0DF7E639" w:rsidR="000D18B4" w:rsidRDefault="000D18B4" w:rsidP="00751207">
      <w:pPr>
        <w:spacing w:line="240" w:lineRule="auto"/>
      </w:pPr>
      <w:r>
        <w:t xml:space="preserve">A strong theme in the community consultation sessions was the need for emotional support in decision-making and transitioning to alternative accommodation. There is a </w:t>
      </w:r>
      <w:r w:rsidRPr="00ED7431">
        <w:t>lack of integrated services that assist older people to work through the multitude of decisions they need to make to be fully prepare</w:t>
      </w:r>
      <w:r>
        <w:t>d for ageing.</w:t>
      </w:r>
    </w:p>
    <w:p w14:paraId="40C31363" w14:textId="2FD59FB9" w:rsidR="000D18B4" w:rsidRPr="00850F02" w:rsidRDefault="000D18B4" w:rsidP="00751207">
      <w:pPr>
        <w:spacing w:line="240" w:lineRule="auto"/>
      </w:pPr>
      <w:r w:rsidRPr="00850F02">
        <w:t>The Taskforce heard that legislation and regulation, contracts and other documents</w:t>
      </w:r>
      <w:r>
        <w:t>,</w:t>
      </w:r>
      <w:r w:rsidRPr="00850F02">
        <w:t xml:space="preserve"> and processes can be complex in</w:t>
      </w:r>
      <w:r>
        <w:t xml:space="preserve"> </w:t>
      </w:r>
      <w:r w:rsidRPr="00850F02">
        <w:t>way</w:t>
      </w:r>
      <w:r>
        <w:t>s</w:t>
      </w:r>
      <w:r w:rsidRPr="00850F02">
        <w:t xml:space="preserve"> that often deter people from entering into housing arrangements or planning for their future. Greater clarity around contractual arrangements is needed to support people to make good decisions</w:t>
      </w:r>
      <w:r w:rsidR="00AD39C2">
        <w:t>,</w:t>
      </w:r>
      <w:r w:rsidRPr="00850F02">
        <w:t xml:space="preserve"> particularly </w:t>
      </w:r>
      <w:r w:rsidR="00AD39C2">
        <w:t>about</w:t>
      </w:r>
      <w:r w:rsidR="00AD39C2" w:rsidRPr="00850F02">
        <w:t xml:space="preserve"> </w:t>
      </w:r>
      <w:r w:rsidRPr="00850F02">
        <w:t>contracts related to entering retirement villages and manufactured home parks.</w:t>
      </w:r>
    </w:p>
    <w:p w14:paraId="191AC8E5" w14:textId="4D288940" w:rsidR="000D18B4" w:rsidRDefault="000D18B4" w:rsidP="00751207">
      <w:pPr>
        <w:spacing w:line="240" w:lineRule="auto"/>
      </w:pPr>
      <w:r>
        <w:lastRenderedPageBreak/>
        <w:t xml:space="preserve">Queensland is in need of a service that assists older people obtain </w:t>
      </w:r>
      <w:r w:rsidRPr="00D16DAE">
        <w:t>sound, objective and reliable information</w:t>
      </w:r>
      <w:r>
        <w:t xml:space="preserve">. </w:t>
      </w:r>
      <w:r w:rsidR="003F3DF8">
        <w:t>O</w:t>
      </w:r>
      <w:r>
        <w:t>ne such program is FirstStop Advice in the United Kingdom (</w:t>
      </w:r>
      <w:hyperlink r:id="rId18" w:history="1">
        <w:r w:rsidRPr="00D16DAE">
          <w:rPr>
            <w:rStyle w:val="Hyperlink"/>
          </w:rPr>
          <w:t>www.firststopcareadvice.org.uk/</w:t>
        </w:r>
      </w:hyperlink>
      <w:r>
        <w:t xml:space="preserve"> ). It is an independent, impartial and free service </w:t>
      </w:r>
      <w:r w:rsidR="00AD39C2">
        <w:t xml:space="preserve">that assists older people to make informed decisions. It </w:t>
      </w:r>
      <w:r>
        <w:t>provides services and tools to help older people access housing, care and financial advice</w:t>
      </w:r>
      <w:r w:rsidR="00AD39C2">
        <w:t>, and</w:t>
      </w:r>
      <w:r>
        <w:t xml:space="preserve"> also provides advice </w:t>
      </w:r>
      <w:r w:rsidR="00AD39C2">
        <w:t xml:space="preserve">to </w:t>
      </w:r>
      <w:r>
        <w:t xml:space="preserve">families and carers. This </w:t>
      </w:r>
      <w:r w:rsidR="00AD39C2">
        <w:t xml:space="preserve">type </w:t>
      </w:r>
      <w:r>
        <w:t>of program is worthy of investigation as a possible model for Queensland.</w:t>
      </w:r>
    </w:p>
    <w:p w14:paraId="0CB1D7DA" w14:textId="4CDA9E84" w:rsidR="003F3DF8" w:rsidRDefault="003F3DF8" w:rsidP="00751207">
      <w:pPr>
        <w:spacing w:line="240" w:lineRule="auto"/>
      </w:pPr>
      <w:r>
        <w:t xml:space="preserve">Ideally, products and services that assist older people to transition to appropriate housing, </w:t>
      </w:r>
      <w:r w:rsidR="00452191">
        <w:t>need to</w:t>
      </w:r>
      <w:r>
        <w:t xml:space="preserve"> be developed and co-designed with older people including different cohorts </w:t>
      </w:r>
      <w:r w:rsidR="00A32F10">
        <w:t>such as</w:t>
      </w:r>
      <w:r>
        <w:t xml:space="preserve"> vulnerable</w:t>
      </w:r>
      <w:r w:rsidR="00A32F10">
        <w:t xml:space="preserve"> or disadvantaged people, Aboriginal and Torres Strait Islander peoples and older people from culturally and linguistically diverse backgrounds</w:t>
      </w:r>
      <w:r w:rsidR="00452191">
        <w:t>.</w:t>
      </w:r>
    </w:p>
    <w:p w14:paraId="3399A8EC" w14:textId="77777777" w:rsidR="000D18B4" w:rsidRDefault="000D18B4" w:rsidP="000D18B4">
      <w:pPr>
        <w:spacing w:line="240" w:lineRule="auto"/>
        <w:rPr>
          <w:rFonts w:eastAsia="Times New Roman" w:cs="Times New Roman"/>
        </w:rPr>
      </w:pPr>
    </w:p>
    <w:p w14:paraId="28F23443" w14:textId="08ADC2B0" w:rsidR="000D18B4" w:rsidRPr="00807657" w:rsidRDefault="000D18B4" w:rsidP="000D18B4">
      <w:pPr>
        <w:pStyle w:val="Heading2"/>
      </w:pPr>
      <w:bookmarkStart w:id="781" w:name="_Ref458174903"/>
      <w:bookmarkStart w:id="782" w:name="_Toc460257508"/>
      <w:r w:rsidRPr="00446F37">
        <w:t xml:space="preserve">Accessible </w:t>
      </w:r>
      <w:r w:rsidR="00276720">
        <w:t>h</w:t>
      </w:r>
      <w:r w:rsidRPr="00446F37">
        <w:t xml:space="preserve">ousing and </w:t>
      </w:r>
      <w:r w:rsidR="00276720">
        <w:t>u</w:t>
      </w:r>
      <w:r w:rsidRPr="005017A1">
        <w:t xml:space="preserve">niversal </w:t>
      </w:r>
      <w:r w:rsidR="00276720">
        <w:t>d</w:t>
      </w:r>
      <w:r w:rsidRPr="005017A1">
        <w:t>esign</w:t>
      </w:r>
      <w:bookmarkEnd w:id="781"/>
      <w:bookmarkEnd w:id="782"/>
      <w:r w:rsidRPr="00807657">
        <w:t xml:space="preserve">  </w:t>
      </w:r>
    </w:p>
    <w:tbl>
      <w:tblPr>
        <w:tblStyle w:val="TableGrid"/>
        <w:tblW w:w="0" w:type="auto"/>
        <w:tblLook w:val="04A0" w:firstRow="1" w:lastRow="0" w:firstColumn="1" w:lastColumn="0" w:noHBand="0" w:noVBand="1"/>
      </w:tblPr>
      <w:tblGrid>
        <w:gridCol w:w="9322"/>
      </w:tblGrid>
      <w:tr w:rsidR="000D18B4" w14:paraId="12F070D1" w14:textId="77777777" w:rsidTr="00BA3344">
        <w:tc>
          <w:tcPr>
            <w:tcW w:w="9548" w:type="dxa"/>
          </w:tcPr>
          <w:p w14:paraId="6ECBAF9A" w14:textId="77777777" w:rsidR="000D18B4" w:rsidRDefault="000D18B4" w:rsidP="00BA3344">
            <w:pPr>
              <w:pStyle w:val="Boxheading"/>
            </w:pPr>
            <w:r>
              <w:t>Issues</w:t>
            </w:r>
          </w:p>
          <w:p w14:paraId="171C88CE" w14:textId="1B99EF40" w:rsidR="000D18B4" w:rsidRDefault="000D18B4" w:rsidP="0005526D">
            <w:pPr>
              <w:pStyle w:val="ListParagraph"/>
              <w:numPr>
                <w:ilvl w:val="0"/>
                <w:numId w:val="7"/>
              </w:numPr>
              <w:spacing w:line="240" w:lineRule="auto"/>
            </w:pPr>
            <w:r>
              <w:t xml:space="preserve">The majority of housing is not built to </w:t>
            </w:r>
            <w:r w:rsidR="00276720">
              <w:t>u</w:t>
            </w:r>
            <w:r>
              <w:t xml:space="preserve">niversal </w:t>
            </w:r>
            <w:r w:rsidR="00276720">
              <w:t>d</w:t>
            </w:r>
            <w:r>
              <w:t>esign standards</w:t>
            </w:r>
            <w:r w:rsidR="00276720">
              <w:t>.</w:t>
            </w:r>
          </w:p>
          <w:p w14:paraId="3CB90301" w14:textId="444EF520" w:rsidR="000D18B4" w:rsidRDefault="000D18B4" w:rsidP="0005526D">
            <w:pPr>
              <w:pStyle w:val="ListParagraph"/>
              <w:numPr>
                <w:ilvl w:val="0"/>
                <w:numId w:val="7"/>
              </w:numPr>
              <w:spacing w:after="0" w:line="240" w:lineRule="auto"/>
            </w:pPr>
            <w:r>
              <w:t xml:space="preserve">A large proportion of existing housing is difficult to adapt or retrofit to suit the needs of older people or those with disabilities. </w:t>
            </w:r>
            <w:r w:rsidRPr="007E775A">
              <w:t xml:space="preserve">Adapting </w:t>
            </w:r>
            <w:r>
              <w:t>or retrofitting</w:t>
            </w:r>
            <w:r w:rsidRPr="007E775A">
              <w:t xml:space="preserve"> home</w:t>
            </w:r>
            <w:r>
              <w:t>s</w:t>
            </w:r>
            <w:r w:rsidRPr="007E775A">
              <w:t xml:space="preserve"> can be</w:t>
            </w:r>
            <w:r>
              <w:t xml:space="preserve"> costly</w:t>
            </w:r>
            <w:r w:rsidR="00276720">
              <w:t>,</w:t>
            </w:r>
            <w:r>
              <w:t xml:space="preserve"> and f</w:t>
            </w:r>
            <w:r w:rsidRPr="007E775A">
              <w:t>inding professionals to advis</w:t>
            </w:r>
            <w:r w:rsidR="00276720">
              <w:t>e</w:t>
            </w:r>
            <w:r w:rsidRPr="007E775A">
              <w:t>, design and construct can be a major challenge</w:t>
            </w:r>
            <w:r w:rsidR="005470FE">
              <w:t>.</w:t>
            </w:r>
          </w:p>
          <w:p w14:paraId="20B511BC" w14:textId="5D54A75F" w:rsidR="000D18B4" w:rsidRDefault="000D18B4" w:rsidP="0005526D">
            <w:pPr>
              <w:pStyle w:val="ListParagraph"/>
              <w:numPr>
                <w:ilvl w:val="0"/>
                <w:numId w:val="7"/>
              </w:numPr>
              <w:spacing w:after="0" w:line="240" w:lineRule="auto"/>
            </w:pPr>
            <w:r>
              <w:t>House repairs and maintenance can be costly and difficult to initiate and coordinate for older people</w:t>
            </w:r>
            <w:r w:rsidR="005470FE">
              <w:t>.</w:t>
            </w:r>
          </w:p>
          <w:p w14:paraId="5D762100" w14:textId="13A5D403" w:rsidR="000D18B4" w:rsidRDefault="000D18B4" w:rsidP="0005526D">
            <w:pPr>
              <w:pStyle w:val="ListParagraph"/>
              <w:numPr>
                <w:ilvl w:val="0"/>
                <w:numId w:val="7"/>
              </w:numPr>
              <w:spacing w:after="0" w:line="240" w:lineRule="auto"/>
            </w:pPr>
            <w:r w:rsidRPr="000E01D7">
              <w:t>People</w:t>
            </w:r>
            <w:r>
              <w:t xml:space="preserve"> living</w:t>
            </w:r>
            <w:r w:rsidRPr="000E01D7">
              <w:t xml:space="preserve"> in private rental housing may </w:t>
            </w:r>
            <w:r>
              <w:t xml:space="preserve">be at risk of insecure housing. </w:t>
            </w:r>
            <w:r w:rsidRPr="000E01D7">
              <w:t xml:space="preserve">Private rental housing is not always affordable and making modifications to allow ageing in place </w:t>
            </w:r>
            <w:r>
              <w:t>may not be possible</w:t>
            </w:r>
            <w:r w:rsidR="005470FE">
              <w:t>.</w:t>
            </w:r>
          </w:p>
          <w:p w14:paraId="17DCF6B0" w14:textId="77777777" w:rsidR="000D18B4" w:rsidRPr="00227962" w:rsidRDefault="000D18B4" w:rsidP="00BA3344">
            <w:pPr>
              <w:pStyle w:val="ListParagraph"/>
              <w:spacing w:after="0" w:line="240" w:lineRule="auto"/>
            </w:pPr>
          </w:p>
        </w:tc>
      </w:tr>
    </w:tbl>
    <w:p w14:paraId="2D24C237" w14:textId="77777777" w:rsidR="000D18B4" w:rsidRDefault="000D18B4" w:rsidP="000D18B4">
      <w:pPr>
        <w:pStyle w:val="Heading3"/>
        <w:numPr>
          <w:ilvl w:val="0"/>
          <w:numId w:val="0"/>
        </w:numPr>
        <w:rPr>
          <w:b/>
          <w:color w:val="0070C0"/>
        </w:rPr>
      </w:pPr>
    </w:p>
    <w:p w14:paraId="763B8BF9" w14:textId="27264813" w:rsidR="000D18B4" w:rsidRPr="0075125D" w:rsidRDefault="000D18B4" w:rsidP="000D18B4">
      <w:r w:rsidRPr="0075125D">
        <w:t xml:space="preserve">Accessible housing, or liveable housing, </w:t>
      </w:r>
      <w:r>
        <w:t>is</w:t>
      </w:r>
      <w:r w:rsidRPr="0075125D">
        <w:t xml:space="preserve"> housing that meets the changing needs of occupants over their lifetime. It includes design features that make homes easier and safer to use for all occupants and their visitors, including people with mobility impairments. It seeks to enhance the quality of life for occupants </w:t>
      </w:r>
      <w:r>
        <w:t>over the</w:t>
      </w:r>
      <w:r w:rsidR="005470FE">
        <w:t>ir</w:t>
      </w:r>
      <w:r>
        <w:t xml:space="preserve"> li</w:t>
      </w:r>
      <w:r w:rsidR="0093560A">
        <w:t>fetimes</w:t>
      </w:r>
      <w:r w:rsidRPr="0075125D">
        <w:t>.</w:t>
      </w:r>
      <w:r>
        <w:t xml:space="preserve"> </w:t>
      </w:r>
      <w:r w:rsidRPr="0075125D">
        <w:t xml:space="preserve">Liveable housing can </w:t>
      </w:r>
      <w:r w:rsidR="005470FE">
        <w:t>also</w:t>
      </w:r>
      <w:r w:rsidR="005470FE" w:rsidRPr="0075125D">
        <w:t xml:space="preserve"> </w:t>
      </w:r>
      <w:r w:rsidRPr="0075125D">
        <w:t>support age</w:t>
      </w:r>
      <w:r>
        <w:t>ing</w:t>
      </w:r>
      <w:r w:rsidRPr="0075125D">
        <w:t xml:space="preserve"> in place. </w:t>
      </w:r>
    </w:p>
    <w:p w14:paraId="6575C10C" w14:textId="4FBD37F3" w:rsidR="000D18B4" w:rsidRDefault="000D18B4" w:rsidP="000D18B4">
      <w:r w:rsidRPr="0075125D">
        <w:t>In 2011</w:t>
      </w:r>
      <w:r w:rsidR="005470FE">
        <w:t>,</w:t>
      </w:r>
      <w:r w:rsidRPr="0075125D">
        <w:t xml:space="preserve"> national targets for proportions of new housing to be built to </w:t>
      </w:r>
      <w:r w:rsidR="005470FE">
        <w:t>u</w:t>
      </w:r>
      <w:r w:rsidRPr="0075125D">
        <w:t xml:space="preserve">niversal </w:t>
      </w:r>
      <w:r w:rsidR="005470FE">
        <w:t>d</w:t>
      </w:r>
      <w:r w:rsidRPr="0075125D">
        <w:t xml:space="preserve">esign standards were included in the Council of Australian Governments’ </w:t>
      </w:r>
      <w:r w:rsidRPr="005470FE">
        <w:rPr>
          <w:i/>
        </w:rPr>
        <w:t>National Disability Strategy 2010-2020</w:t>
      </w:r>
      <w:r w:rsidRPr="0075125D">
        <w:t>. This buil</w:t>
      </w:r>
      <w:r w:rsidR="005470FE">
        <w:t>t</w:t>
      </w:r>
      <w:r w:rsidRPr="0075125D">
        <w:t xml:space="preserve"> on work by industry, community and government</w:t>
      </w:r>
      <w:r w:rsidR="005470FE">
        <w:t>,</w:t>
      </w:r>
      <w:r w:rsidRPr="0075125D">
        <w:t xml:space="preserve"> working </w:t>
      </w:r>
      <w:r w:rsidR="005470FE">
        <w:t>together</w:t>
      </w:r>
      <w:r w:rsidRPr="0075125D">
        <w:t xml:space="preserve"> through the National Dialogue on Universal Housing Design and Liveable Housing Australia (LHA). LHA has published </w:t>
      </w:r>
      <w:r w:rsidR="005470FE">
        <w:t>d</w:t>
      </w:r>
      <w:r w:rsidRPr="0075125D">
        <w:t xml:space="preserve">esign </w:t>
      </w:r>
      <w:r w:rsidR="005470FE">
        <w:t>g</w:t>
      </w:r>
      <w:r w:rsidRPr="0075125D">
        <w:t>uidelines to ensure consistent application of liveable housing design standards.</w:t>
      </w:r>
      <w:r>
        <w:t xml:space="preserve"> </w:t>
      </w:r>
    </w:p>
    <w:p w14:paraId="717BD148" w14:textId="4D8BCC03" w:rsidR="000D18B4" w:rsidRPr="00467737" w:rsidRDefault="00330332" w:rsidP="000D18B4">
      <w:pPr>
        <w:rPr>
          <w:highlight w:val="yellow"/>
        </w:rPr>
      </w:pPr>
      <w:r w:rsidRPr="00467737">
        <w:t xml:space="preserve">There is a lack of statistical data on the number of new homes in Queensland </w:t>
      </w:r>
      <w:r w:rsidR="00467737" w:rsidRPr="00467737">
        <w:t xml:space="preserve">which use LHA’s design guidelines or are built to universal design standards.  It has been observed that </w:t>
      </w:r>
      <w:r w:rsidRPr="00467737">
        <w:t>o</w:t>
      </w:r>
      <w:r w:rsidR="000D18B4" w:rsidRPr="00467737">
        <w:t xml:space="preserve">nly a very small number of new homes </w:t>
      </w:r>
      <w:r w:rsidR="00467737" w:rsidRPr="00467737">
        <w:t xml:space="preserve">are built to these </w:t>
      </w:r>
      <w:r w:rsidR="005470FE" w:rsidRPr="00467737">
        <w:t xml:space="preserve">guidelines or </w:t>
      </w:r>
      <w:r w:rsidR="000D18B4" w:rsidRPr="00467737">
        <w:t xml:space="preserve">standards. Industry representatives argue that </w:t>
      </w:r>
      <w:r w:rsidR="005470FE" w:rsidRPr="00467737">
        <w:t>u</w:t>
      </w:r>
      <w:r w:rsidR="000D18B4" w:rsidRPr="00467737">
        <w:t xml:space="preserve">niversal </w:t>
      </w:r>
      <w:r w:rsidR="005470FE" w:rsidRPr="00467737">
        <w:t>d</w:t>
      </w:r>
      <w:r w:rsidR="000D18B4" w:rsidRPr="00467737">
        <w:t xml:space="preserve">esign adds costs to the construction of dwellings which </w:t>
      </w:r>
      <w:r w:rsidR="005470FE" w:rsidRPr="00467737">
        <w:t>must be</w:t>
      </w:r>
      <w:r w:rsidR="000D18B4" w:rsidRPr="00467737">
        <w:t xml:space="preserve"> passed on to the consumer</w:t>
      </w:r>
      <w:r w:rsidR="000D18B4">
        <w:t>.</w:t>
      </w:r>
    </w:p>
    <w:p w14:paraId="3618B4E3" w14:textId="1FF49348" w:rsidR="000D18B4" w:rsidRPr="004C1AE3" w:rsidRDefault="000D18B4" w:rsidP="000D18B4">
      <w:r>
        <w:t xml:space="preserve">Recent community consultation </w:t>
      </w:r>
      <w:r w:rsidRPr="00AC0C14">
        <w:t xml:space="preserve">processes </w:t>
      </w:r>
      <w:r w:rsidR="005470FE">
        <w:t>for</w:t>
      </w:r>
      <w:r w:rsidRPr="00AC0C14">
        <w:t xml:space="preserve"> </w:t>
      </w:r>
      <w:r w:rsidRPr="004C1AE3">
        <w:rPr>
          <w:i/>
        </w:rPr>
        <w:t xml:space="preserve">Queensland: an age-friendly community </w:t>
      </w:r>
      <w:r w:rsidRPr="004C1AE3">
        <w:t xml:space="preserve">found that older people rated provision of affordable housing, </w:t>
      </w:r>
      <w:r>
        <w:t>suitably designed</w:t>
      </w:r>
      <w:r w:rsidRPr="004C1AE3">
        <w:t xml:space="preserve"> housing and greater accessibility as the highest priority for housing. Specifically the key areas of community focus were to build more </w:t>
      </w:r>
      <w:r>
        <w:t xml:space="preserve">diverse </w:t>
      </w:r>
      <w:r w:rsidRPr="004C1AE3">
        <w:t>housing</w:t>
      </w:r>
      <w:r>
        <w:t xml:space="preserve"> opportunities</w:t>
      </w:r>
      <w:r w:rsidR="005470FE">
        <w:t>, such as</w:t>
      </w:r>
      <w:r w:rsidRPr="004C1AE3">
        <w:t xml:space="preserve"> </w:t>
      </w:r>
      <w:r w:rsidR="005470FE">
        <w:t xml:space="preserve">affordable, </w:t>
      </w:r>
      <w:r w:rsidRPr="004C1AE3">
        <w:t>low set</w:t>
      </w:r>
      <w:r w:rsidR="005470FE">
        <w:t>,</w:t>
      </w:r>
      <w:r w:rsidRPr="004C1AE3">
        <w:t xml:space="preserve"> single villas. </w:t>
      </w:r>
    </w:p>
    <w:p w14:paraId="6CE03A82" w14:textId="198769E6" w:rsidR="000D18B4" w:rsidRDefault="000D18B4" w:rsidP="000D18B4">
      <w:r w:rsidRPr="00AC0C14">
        <w:t xml:space="preserve">Recent community consultation processes </w:t>
      </w:r>
      <w:r w:rsidR="00E344C0">
        <w:t>relating</w:t>
      </w:r>
      <w:r w:rsidRPr="00AC0C14">
        <w:t xml:space="preserve"> to </w:t>
      </w:r>
      <w:r w:rsidRPr="004C1AE3">
        <w:t xml:space="preserve">the </w:t>
      </w:r>
      <w:r w:rsidRPr="004C1AE3">
        <w:rPr>
          <w:i/>
        </w:rPr>
        <w:t>Working together for better housing and sustainable communities discussion paper</w:t>
      </w:r>
      <w:r>
        <w:rPr>
          <w:i/>
        </w:rPr>
        <w:t xml:space="preserve"> </w:t>
      </w:r>
      <w:r w:rsidRPr="00350770">
        <w:t xml:space="preserve">also </w:t>
      </w:r>
      <w:r w:rsidRPr="004C1AE3">
        <w:t xml:space="preserve">found that older people seek housing that is more accessible and smaller in their local area, but </w:t>
      </w:r>
      <w:r w:rsidR="00B64ED6">
        <w:t xml:space="preserve">they </w:t>
      </w:r>
      <w:r w:rsidRPr="004C1AE3">
        <w:t xml:space="preserve">are unable to find housing that meets their needs. </w:t>
      </w:r>
      <w:r w:rsidR="00B64ED6">
        <w:t>The notion of i</w:t>
      </w:r>
      <w:r w:rsidRPr="004C1AE3">
        <w:t xml:space="preserve">ncentives </w:t>
      </w:r>
      <w:r w:rsidR="00B64ED6">
        <w:t>for developers</w:t>
      </w:r>
      <w:r w:rsidRPr="004C1AE3">
        <w:t xml:space="preserve"> to provide housing </w:t>
      </w:r>
      <w:r w:rsidR="00B64ED6">
        <w:t>that</w:t>
      </w:r>
      <w:r w:rsidR="00B64ED6" w:rsidRPr="004C1AE3">
        <w:t xml:space="preserve"> </w:t>
      </w:r>
      <w:r w:rsidRPr="004C1AE3">
        <w:t xml:space="preserve">is compliant with the </w:t>
      </w:r>
      <w:r w:rsidR="00B64ED6">
        <w:t>LHA</w:t>
      </w:r>
      <w:r w:rsidRPr="004C1AE3">
        <w:t xml:space="preserve"> </w:t>
      </w:r>
      <w:r w:rsidR="00B64ED6">
        <w:t>d</w:t>
      </w:r>
      <w:r w:rsidRPr="004C1AE3">
        <w:t xml:space="preserve">esign </w:t>
      </w:r>
      <w:r w:rsidR="00B64ED6">
        <w:t>g</w:t>
      </w:r>
      <w:r w:rsidRPr="004C1AE3">
        <w:t>uidelines</w:t>
      </w:r>
      <w:r w:rsidR="00B64ED6">
        <w:t xml:space="preserve"> was also suggested</w:t>
      </w:r>
      <w:r w:rsidRPr="004C1AE3">
        <w:t>.</w:t>
      </w:r>
    </w:p>
    <w:p w14:paraId="71318974" w14:textId="6A96FBF9" w:rsidR="000D18B4" w:rsidRDefault="000D18B4" w:rsidP="000D18B4">
      <w:r w:rsidRPr="00F64201">
        <w:rPr>
          <w:rFonts w:eastAsia="Times New Roman" w:cs="Times New Roman"/>
        </w:rPr>
        <w:lastRenderedPageBreak/>
        <w:t>There is a correlation between ageing and disability, and the desire to age</w:t>
      </w:r>
      <w:r w:rsidR="00B64ED6">
        <w:rPr>
          <w:rFonts w:eastAsia="Times New Roman" w:cs="Times New Roman"/>
        </w:rPr>
        <w:t xml:space="preserve"> </w:t>
      </w:r>
      <w:r w:rsidRPr="00F64201">
        <w:rPr>
          <w:rFonts w:eastAsia="Times New Roman" w:cs="Times New Roman"/>
        </w:rPr>
        <w:t>in</w:t>
      </w:r>
      <w:r w:rsidR="00B64ED6">
        <w:rPr>
          <w:rFonts w:eastAsia="Times New Roman" w:cs="Times New Roman"/>
        </w:rPr>
        <w:t xml:space="preserve"> </w:t>
      </w:r>
      <w:r w:rsidRPr="00F64201">
        <w:rPr>
          <w:rFonts w:eastAsia="Times New Roman" w:cs="Times New Roman"/>
        </w:rPr>
        <w:t xml:space="preserve">place often leads to the need for costly retro-fitting of existing dwellings as residents’ needs change over time.  </w:t>
      </w:r>
    </w:p>
    <w:p w14:paraId="14732DA4" w14:textId="2DA5A972" w:rsidR="000D18B4" w:rsidRDefault="000D18B4" w:rsidP="000D18B4">
      <w:r w:rsidRPr="0075125D">
        <w:t>A continu</w:t>
      </w:r>
      <w:r w:rsidR="00B64ED6">
        <w:t>ing</w:t>
      </w:r>
      <w:r w:rsidRPr="0075125D">
        <w:t xml:space="preserve"> shortage of accessible housing means it will remain difficult for Queenslanders to attain housing </w:t>
      </w:r>
      <w:r w:rsidR="00B64ED6">
        <w:t>that</w:t>
      </w:r>
      <w:r w:rsidR="00B64ED6" w:rsidRPr="0075125D">
        <w:t xml:space="preserve"> </w:t>
      </w:r>
      <w:r w:rsidRPr="0075125D">
        <w:t>allow</w:t>
      </w:r>
      <w:r w:rsidR="00B64ED6">
        <w:t>s</w:t>
      </w:r>
      <w:r w:rsidRPr="0075125D">
        <w:t xml:space="preserve"> them to age in place. This shortage is experienced acutely by older people in the private rental market who have limited control over their dwelling and </w:t>
      </w:r>
      <w:r w:rsidR="008D48F6">
        <w:t>little</w:t>
      </w:r>
      <w:r w:rsidRPr="0075125D">
        <w:t xml:space="preserve"> accessible rental housing.</w:t>
      </w:r>
    </w:p>
    <w:p w14:paraId="21AAA1DB" w14:textId="0764BB52" w:rsidR="000D18B4" w:rsidRDefault="000D18B4" w:rsidP="000D18B4">
      <w:r w:rsidRPr="00C614BD">
        <w:t>The</w:t>
      </w:r>
      <w:r w:rsidRPr="004C1AE3">
        <w:t xml:space="preserve"> Queensland Government</w:t>
      </w:r>
      <w:r w:rsidRPr="00C614BD">
        <w:t xml:space="preserve"> Home Assist Secure</w:t>
      </w:r>
      <w:r>
        <w:t xml:space="preserve"> (HAS)</w:t>
      </w:r>
      <w:r w:rsidRPr="00C614BD">
        <w:t xml:space="preserve"> program</w:t>
      </w:r>
      <w:r w:rsidRPr="004C1AE3">
        <w:t xml:space="preserve"> </w:t>
      </w:r>
      <w:r w:rsidR="007B687F" w:rsidRPr="004C1AE3">
        <w:t>provides referrals and subsidised assistance to eligible people unable to undertake or pay for critical maintenance services</w:t>
      </w:r>
      <w:r w:rsidR="007B687F">
        <w:t>. Eligible people include</w:t>
      </w:r>
      <w:r w:rsidRPr="004C1AE3">
        <w:t xml:space="preserve"> </w:t>
      </w:r>
      <w:r>
        <w:t>home owners</w:t>
      </w:r>
      <w:r w:rsidRPr="004C1AE3">
        <w:t xml:space="preserve"> aged 60 years and over, or peopl</w:t>
      </w:r>
      <w:r>
        <w:t>e of any age with a disability</w:t>
      </w:r>
      <w:r w:rsidRPr="004C1AE3">
        <w:t xml:space="preserve">. </w:t>
      </w:r>
      <w:r>
        <w:t xml:space="preserve">The HAS program also </w:t>
      </w:r>
      <w:r w:rsidRPr="004C1AE3">
        <w:t>provides access to small grants for home modifications and other minor works to assist older people to r</w:t>
      </w:r>
      <w:r>
        <w:t xml:space="preserve">emain longer in their dwelling. </w:t>
      </w:r>
      <w:r w:rsidRPr="00C614BD">
        <w:t xml:space="preserve">Older people in private rental have difficulties accessing the </w:t>
      </w:r>
      <w:r w:rsidR="007B687F">
        <w:t>HAS</w:t>
      </w:r>
      <w:r w:rsidRPr="00C614BD">
        <w:t xml:space="preserve"> program </w:t>
      </w:r>
      <w:r w:rsidR="00816EB0">
        <w:t>as</w:t>
      </w:r>
      <w:r w:rsidRPr="00C614BD">
        <w:t xml:space="preserve"> a modification to the property require</w:t>
      </w:r>
      <w:r w:rsidR="00816EB0">
        <w:t>s</w:t>
      </w:r>
      <w:r w:rsidRPr="00C614BD">
        <w:t xml:space="preserve"> the consent and financial investment </w:t>
      </w:r>
      <w:r w:rsidR="00816EB0">
        <w:t xml:space="preserve">of </w:t>
      </w:r>
      <w:r w:rsidRPr="00C614BD">
        <w:t>their landlord.</w:t>
      </w:r>
    </w:p>
    <w:p w14:paraId="44027B3E" w14:textId="161CA643" w:rsidR="000D18B4" w:rsidRPr="004C1AE3" w:rsidRDefault="000D18B4" w:rsidP="000D18B4">
      <w:r w:rsidRPr="004C1AE3">
        <w:t xml:space="preserve">Some countries have </w:t>
      </w:r>
      <w:r w:rsidR="007B687F">
        <w:t>passed laws and regulations</w:t>
      </w:r>
      <w:r w:rsidR="007B687F" w:rsidRPr="004C1AE3">
        <w:t xml:space="preserve"> </w:t>
      </w:r>
      <w:r w:rsidRPr="004C1AE3">
        <w:t xml:space="preserve">to increase the proportion of </w:t>
      </w:r>
      <w:r w:rsidR="007B687F">
        <w:t xml:space="preserve">accessible </w:t>
      </w:r>
      <w:r w:rsidRPr="004C1AE3">
        <w:t xml:space="preserve">dwellings. In Canada, several provinces require a percentage of units in apartment buildings </w:t>
      </w:r>
      <w:r>
        <w:t xml:space="preserve">to </w:t>
      </w:r>
      <w:r w:rsidRPr="004C1AE3">
        <w:t xml:space="preserve">be constructed as barrier-free or accessible units, and have included specific requirements in their </w:t>
      </w:r>
      <w:r>
        <w:t xml:space="preserve">building </w:t>
      </w:r>
      <w:r w:rsidRPr="004C1AE3">
        <w:t xml:space="preserve">code.  </w:t>
      </w:r>
    </w:p>
    <w:p w14:paraId="2E3ED0BE" w14:textId="761092EB" w:rsidR="000D18B4" w:rsidRDefault="000D18B4" w:rsidP="000D18B4">
      <w:r w:rsidRPr="004C1AE3">
        <w:t>In the U</w:t>
      </w:r>
      <w:r>
        <w:t>nited States</w:t>
      </w:r>
      <w:r w:rsidRPr="004C1AE3">
        <w:t xml:space="preserve">, the Inclusive Home Design Act was introduced in Congress in July 2015. The bill proposes to increase the number of homes usable by people with disabilities by requiring all newly built single-family homes and townhouses receiving federal funds </w:t>
      </w:r>
      <w:r w:rsidR="007B687F">
        <w:t xml:space="preserve">to </w:t>
      </w:r>
      <w:r w:rsidRPr="004C1AE3">
        <w:t xml:space="preserve">meet </w:t>
      </w:r>
      <w:r w:rsidR="007B687F">
        <w:t>access</w:t>
      </w:r>
      <w:r w:rsidRPr="004C1AE3">
        <w:t xml:space="preserve"> standards. </w:t>
      </w:r>
      <w:r>
        <w:t>M</w:t>
      </w:r>
      <w:r w:rsidRPr="004C1AE3">
        <w:t xml:space="preserve">any jurisdictions already have laws requiring certain percentages of new housing </w:t>
      </w:r>
      <w:r w:rsidR="007B687F">
        <w:t xml:space="preserve">to </w:t>
      </w:r>
      <w:r w:rsidRPr="004C1AE3">
        <w:t>have universal design features if they are receiving government funds. Other jurisdictions have attempted to use financial incentives to increase the proportion of new dwellings constructed to universal design standards.</w:t>
      </w:r>
    </w:p>
    <w:p w14:paraId="3ADACCFC" w14:textId="3EEE3E3F" w:rsidR="000D18B4" w:rsidRPr="004C1AE3" w:rsidRDefault="000D18B4" w:rsidP="000D18B4">
      <w:r>
        <w:t xml:space="preserve">The Taskforce heard very strong community support for mandating </w:t>
      </w:r>
      <w:r w:rsidR="007B687F">
        <w:t>u</w:t>
      </w:r>
      <w:r>
        <w:t xml:space="preserve">niversal housing design standards. </w:t>
      </w:r>
      <w:r w:rsidRPr="004C1AE3">
        <w:t xml:space="preserve">The Taskforce </w:t>
      </w:r>
      <w:r>
        <w:t xml:space="preserve">members </w:t>
      </w:r>
      <w:r w:rsidRPr="004C1AE3">
        <w:t xml:space="preserve">acknowledge the importance of </w:t>
      </w:r>
      <w:r w:rsidR="007B687F">
        <w:t>l</w:t>
      </w:r>
      <w:r w:rsidRPr="004C1AE3">
        <w:t xml:space="preserve">iveable </w:t>
      </w:r>
      <w:r w:rsidR="007B687F">
        <w:t>h</w:t>
      </w:r>
      <w:r w:rsidRPr="004C1AE3">
        <w:t xml:space="preserve">ousing </w:t>
      </w:r>
      <w:r w:rsidR="007B687F">
        <w:t>d</w:t>
      </w:r>
      <w:r w:rsidRPr="004C1AE3">
        <w:t xml:space="preserve">esign, particularly </w:t>
      </w:r>
      <w:r>
        <w:t xml:space="preserve">for </w:t>
      </w:r>
      <w:r w:rsidRPr="004C1AE3">
        <w:t>older pe</w:t>
      </w:r>
      <w:r>
        <w:t>ople</w:t>
      </w:r>
      <w:r w:rsidRPr="004C1AE3">
        <w:t xml:space="preserve"> with a disability. It was felt that the building industry and general public are not fully aware of the benefits of installing these features in new housing</w:t>
      </w:r>
      <w:r>
        <w:t xml:space="preserve"> and that active promotion of </w:t>
      </w:r>
      <w:r w:rsidR="007B687F">
        <w:t>l</w:t>
      </w:r>
      <w:r w:rsidRPr="00376644">
        <w:t>iv</w:t>
      </w:r>
      <w:r>
        <w:t>e</w:t>
      </w:r>
      <w:r w:rsidRPr="00376644">
        <w:t xml:space="preserve">able </w:t>
      </w:r>
      <w:r w:rsidR="007B687F">
        <w:t>h</w:t>
      </w:r>
      <w:r w:rsidRPr="00376644">
        <w:t xml:space="preserve">ousing </w:t>
      </w:r>
      <w:r w:rsidR="007B687F">
        <w:t>d</w:t>
      </w:r>
      <w:r w:rsidRPr="00376644">
        <w:t>esign</w:t>
      </w:r>
      <w:r>
        <w:t xml:space="preserve"> could increase uptake.  </w:t>
      </w:r>
    </w:p>
    <w:p w14:paraId="70C00D51" w14:textId="5C29125B" w:rsidR="004A13C0" w:rsidRDefault="000D18B4" w:rsidP="000D18B4">
      <w:r>
        <w:t xml:space="preserve">The Property Council of Australia, a contributor to the development of the </w:t>
      </w:r>
      <w:r w:rsidR="00215726">
        <w:t>LHA</w:t>
      </w:r>
      <w:r w:rsidRPr="004C1AE3">
        <w:t xml:space="preserve"> </w:t>
      </w:r>
      <w:r w:rsidR="00C21444">
        <w:t>d</w:t>
      </w:r>
      <w:r w:rsidRPr="004C1AE3">
        <w:t xml:space="preserve">esign </w:t>
      </w:r>
      <w:r w:rsidR="00C21444">
        <w:t>g</w:t>
      </w:r>
      <w:r w:rsidRPr="004C1AE3">
        <w:t>uidelines</w:t>
      </w:r>
      <w:r>
        <w:t>, highlight</w:t>
      </w:r>
      <w:r w:rsidR="00C21444">
        <w:t>ed</w:t>
      </w:r>
      <w:r>
        <w:t xml:space="preserve"> </w:t>
      </w:r>
      <w:r w:rsidR="00C21444">
        <w:t>concerns about the</w:t>
      </w:r>
      <w:r>
        <w:t xml:space="preserve"> practicality and feasibility of mandating </w:t>
      </w:r>
      <w:r w:rsidR="0070017C">
        <w:t xml:space="preserve">universal housing design standards for </w:t>
      </w:r>
      <w:r>
        <w:t>all new housing and retrofits.</w:t>
      </w:r>
      <w:r w:rsidR="0070017C">
        <w:t xml:space="preserve"> </w:t>
      </w:r>
      <w:r>
        <w:t xml:space="preserve">The Property Council notes that the </w:t>
      </w:r>
      <w:r w:rsidR="00215726">
        <w:t xml:space="preserve">LHA design </w:t>
      </w:r>
      <w:r>
        <w:t xml:space="preserve">guidelines were developed </w:t>
      </w:r>
      <w:r w:rsidRPr="001C45F2">
        <w:t xml:space="preserve">without reference </w:t>
      </w:r>
      <w:r w:rsidR="00215726">
        <w:t xml:space="preserve">to, </w:t>
      </w:r>
      <w:r w:rsidRPr="001C45F2">
        <w:t>or consideration of</w:t>
      </w:r>
      <w:r w:rsidR="00215726">
        <w:t>,</w:t>
      </w:r>
      <w:r w:rsidRPr="001C45F2">
        <w:t xml:space="preserve"> other design, planning, development assessment and cost considerations</w:t>
      </w:r>
      <w:r>
        <w:t xml:space="preserve">. For example, whilst it is desirable to construct and retrofit housing to </w:t>
      </w:r>
      <w:r w:rsidR="00215726">
        <w:t>universal</w:t>
      </w:r>
      <w:r w:rsidR="00215726" w:rsidRPr="004C1AE3">
        <w:t xml:space="preserve"> </w:t>
      </w:r>
      <w:r w:rsidR="00215726">
        <w:t>h</w:t>
      </w:r>
      <w:r w:rsidRPr="004C1AE3">
        <w:t xml:space="preserve">ousing </w:t>
      </w:r>
      <w:r w:rsidR="00215726">
        <w:t>d</w:t>
      </w:r>
      <w:r w:rsidRPr="004C1AE3">
        <w:t>esign</w:t>
      </w:r>
      <w:r>
        <w:t xml:space="preserve"> standards</w:t>
      </w:r>
      <w:r w:rsidR="00215726">
        <w:t>,</w:t>
      </w:r>
      <w:r>
        <w:t xml:space="preserve"> it </w:t>
      </w:r>
      <w:r w:rsidR="00215726">
        <w:t xml:space="preserve">may not be </w:t>
      </w:r>
      <w:r>
        <w:t xml:space="preserve">practical where building areas are prone to flooding, </w:t>
      </w:r>
      <w:r w:rsidR="00215726">
        <w:t>have</w:t>
      </w:r>
      <w:r>
        <w:t xml:space="preserve"> environmental values, bushfire protection or </w:t>
      </w:r>
      <w:r w:rsidR="00941E9A">
        <w:t xml:space="preserve">steep gradients. The Property Council states that the </w:t>
      </w:r>
      <w:r>
        <w:t>introduction of mandatory guidelines would necessitate an exemption process with planning and development assessments at the local government level</w:t>
      </w:r>
      <w:r w:rsidR="0070017C">
        <w:t xml:space="preserve">, with </w:t>
      </w:r>
      <w:r>
        <w:t xml:space="preserve">associated costs. </w:t>
      </w:r>
      <w:r w:rsidR="004A13C0">
        <w:t xml:space="preserve">Appendix 5 </w:t>
      </w:r>
      <w:r w:rsidR="009B79C4">
        <w:t>provides the full response from the Property Council of Australia.</w:t>
      </w:r>
      <w:r w:rsidR="004A13C0">
        <w:t xml:space="preserve">  </w:t>
      </w:r>
    </w:p>
    <w:p w14:paraId="01FB872A" w14:textId="77777777" w:rsidR="00C21444" w:rsidRDefault="00C21444" w:rsidP="000D18B4"/>
    <w:p w14:paraId="12CBD6C9" w14:textId="20495AC4" w:rsidR="000D18B4" w:rsidRPr="00617952" w:rsidRDefault="000D18B4" w:rsidP="000D18B4">
      <w:pPr>
        <w:pStyle w:val="Heading2"/>
      </w:pPr>
      <w:bookmarkStart w:id="783" w:name="_Toc457242441"/>
      <w:bookmarkStart w:id="784" w:name="_Toc457242824"/>
      <w:bookmarkStart w:id="785" w:name="_Toc457243207"/>
      <w:bookmarkStart w:id="786" w:name="_Toc457243586"/>
      <w:bookmarkStart w:id="787" w:name="_Toc457243962"/>
      <w:bookmarkStart w:id="788" w:name="_Toc457244344"/>
      <w:bookmarkStart w:id="789" w:name="_Toc457244721"/>
      <w:bookmarkStart w:id="790" w:name="_Toc457245097"/>
      <w:bookmarkStart w:id="791" w:name="_Toc457245469"/>
      <w:bookmarkStart w:id="792" w:name="_Toc457245839"/>
      <w:bookmarkStart w:id="793" w:name="_Toc457246181"/>
      <w:bookmarkStart w:id="794" w:name="_Toc457246520"/>
      <w:bookmarkStart w:id="795" w:name="_Toc457288975"/>
      <w:bookmarkStart w:id="796" w:name="_Toc457290798"/>
      <w:bookmarkStart w:id="797" w:name="_Toc457399170"/>
      <w:bookmarkStart w:id="798" w:name="_Toc457458909"/>
      <w:bookmarkStart w:id="799" w:name="_Toc457468199"/>
      <w:bookmarkStart w:id="800" w:name="_Toc457483235"/>
      <w:bookmarkStart w:id="801" w:name="_Toc457483631"/>
      <w:bookmarkStart w:id="802" w:name="_Toc457506569"/>
      <w:bookmarkStart w:id="803" w:name="_Toc457512597"/>
      <w:bookmarkStart w:id="804" w:name="_Toc457242442"/>
      <w:bookmarkStart w:id="805" w:name="_Toc457242825"/>
      <w:bookmarkStart w:id="806" w:name="_Toc457243208"/>
      <w:bookmarkStart w:id="807" w:name="_Toc457243587"/>
      <w:bookmarkStart w:id="808" w:name="_Toc457243963"/>
      <w:bookmarkStart w:id="809" w:name="_Toc457244345"/>
      <w:bookmarkStart w:id="810" w:name="_Toc457244722"/>
      <w:bookmarkStart w:id="811" w:name="_Toc457245098"/>
      <w:bookmarkStart w:id="812" w:name="_Toc457245470"/>
      <w:bookmarkStart w:id="813" w:name="_Toc457245840"/>
      <w:bookmarkStart w:id="814" w:name="_Toc457246182"/>
      <w:bookmarkStart w:id="815" w:name="_Toc457246521"/>
      <w:bookmarkStart w:id="816" w:name="_Toc457288976"/>
      <w:bookmarkStart w:id="817" w:name="_Toc457290799"/>
      <w:bookmarkStart w:id="818" w:name="_Toc457399171"/>
      <w:bookmarkStart w:id="819" w:name="_Toc457458910"/>
      <w:bookmarkStart w:id="820" w:name="_Toc457468200"/>
      <w:bookmarkStart w:id="821" w:name="_Toc457483236"/>
      <w:bookmarkStart w:id="822" w:name="_Toc457483632"/>
      <w:bookmarkStart w:id="823" w:name="_Toc457506570"/>
      <w:bookmarkStart w:id="824" w:name="_Toc457512598"/>
      <w:bookmarkStart w:id="825" w:name="_Toc460257509"/>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lastRenderedPageBreak/>
        <w:t>Older Aboriginal and Torres Strait Islander Queenslanders</w:t>
      </w:r>
      <w:bookmarkEnd w:id="825"/>
    </w:p>
    <w:tbl>
      <w:tblPr>
        <w:tblStyle w:val="TableGrid"/>
        <w:tblW w:w="0" w:type="auto"/>
        <w:tblLook w:val="04A0" w:firstRow="1" w:lastRow="0" w:firstColumn="1" w:lastColumn="0" w:noHBand="0" w:noVBand="1"/>
      </w:tblPr>
      <w:tblGrid>
        <w:gridCol w:w="9322"/>
      </w:tblGrid>
      <w:tr w:rsidR="000D18B4" w14:paraId="038FE5A4" w14:textId="77777777" w:rsidTr="00BA3344">
        <w:tc>
          <w:tcPr>
            <w:tcW w:w="9548" w:type="dxa"/>
          </w:tcPr>
          <w:p w14:paraId="30FBA853" w14:textId="77777777" w:rsidR="000D18B4" w:rsidRDefault="000D18B4" w:rsidP="00BA3344">
            <w:pPr>
              <w:pStyle w:val="Boxheading"/>
            </w:pPr>
            <w:r>
              <w:t>Issues</w:t>
            </w:r>
          </w:p>
          <w:p w14:paraId="417540AF" w14:textId="2EB2192E" w:rsidR="000D18B4" w:rsidRDefault="000D18B4" w:rsidP="0005526D">
            <w:pPr>
              <w:pStyle w:val="ListParagraph"/>
              <w:numPr>
                <w:ilvl w:val="0"/>
                <w:numId w:val="7"/>
              </w:numPr>
              <w:spacing w:after="0" w:line="240" w:lineRule="auto"/>
            </w:pPr>
            <w:r>
              <w:t>There is insufficient suitable</w:t>
            </w:r>
            <w:r w:rsidR="00215726">
              <w:t>,</w:t>
            </w:r>
            <w:r>
              <w:t xml:space="preserve"> </w:t>
            </w:r>
            <w:r w:rsidR="00215726">
              <w:t xml:space="preserve">culturally appropriate </w:t>
            </w:r>
            <w:r>
              <w:t>housing available for older Aboriginal and Torres Strait Islander Queenslanders</w:t>
            </w:r>
            <w:r w:rsidR="00215726">
              <w:t>.</w:t>
            </w:r>
            <w:r>
              <w:t xml:space="preserve">  </w:t>
            </w:r>
          </w:p>
          <w:p w14:paraId="4A3F4CD2" w14:textId="017CD7AD" w:rsidR="000D18B4" w:rsidRDefault="000D18B4" w:rsidP="0005526D">
            <w:pPr>
              <w:pStyle w:val="ListParagraph"/>
              <w:numPr>
                <w:ilvl w:val="0"/>
                <w:numId w:val="7"/>
              </w:numPr>
              <w:spacing w:after="0" w:line="240" w:lineRule="auto"/>
            </w:pPr>
            <w:r>
              <w:t>There are insufficient suitable</w:t>
            </w:r>
            <w:r w:rsidR="00215726">
              <w:t>,</w:t>
            </w:r>
            <w:r>
              <w:t xml:space="preserve"> </w:t>
            </w:r>
            <w:r w:rsidR="00215726">
              <w:t xml:space="preserve">culturally appropriate </w:t>
            </w:r>
            <w:r>
              <w:t>community services available for Aboriginal and Torres Strait Islander Queenslanders</w:t>
            </w:r>
            <w:r w:rsidR="00215726">
              <w:t>.</w:t>
            </w:r>
          </w:p>
          <w:p w14:paraId="7972E68F" w14:textId="71597F91" w:rsidR="000D18B4" w:rsidRDefault="000D18B4" w:rsidP="0005526D">
            <w:pPr>
              <w:pStyle w:val="ListParagraph"/>
              <w:numPr>
                <w:ilvl w:val="0"/>
                <w:numId w:val="7"/>
              </w:numPr>
              <w:spacing w:after="0" w:line="240" w:lineRule="auto"/>
            </w:pPr>
            <w:r>
              <w:t xml:space="preserve">The majority of housing built for </w:t>
            </w:r>
            <w:r w:rsidR="00215726">
              <w:t xml:space="preserve">older </w:t>
            </w:r>
            <w:r>
              <w:t xml:space="preserve">Aboriginal and Torres Strait Islander Queenslanders is not built to </w:t>
            </w:r>
            <w:r w:rsidR="00215726">
              <w:t>u</w:t>
            </w:r>
            <w:r>
              <w:t xml:space="preserve">niversal </w:t>
            </w:r>
            <w:r w:rsidR="00215726">
              <w:t>h</w:t>
            </w:r>
            <w:r>
              <w:t>ousing design standards</w:t>
            </w:r>
            <w:r w:rsidR="00215726">
              <w:t>.</w:t>
            </w:r>
          </w:p>
          <w:p w14:paraId="4803E6B9" w14:textId="6EC24137" w:rsidR="000D18B4" w:rsidRDefault="00215726" w:rsidP="0005526D">
            <w:pPr>
              <w:pStyle w:val="ListParagraph"/>
              <w:numPr>
                <w:ilvl w:val="0"/>
                <w:numId w:val="7"/>
              </w:numPr>
              <w:spacing w:after="0" w:line="240" w:lineRule="auto"/>
            </w:pPr>
            <w:r>
              <w:t>Historically, g</w:t>
            </w:r>
            <w:r w:rsidR="000D18B4">
              <w:t>overnments have imposed housing design on Indigenous people.</w:t>
            </w:r>
          </w:p>
          <w:p w14:paraId="58B71AE7" w14:textId="77777777" w:rsidR="000D18B4" w:rsidRPr="003756D3" w:rsidRDefault="000D18B4" w:rsidP="00BA3344">
            <w:pPr>
              <w:pStyle w:val="ListParagraph"/>
              <w:spacing w:line="240" w:lineRule="auto"/>
            </w:pPr>
          </w:p>
        </w:tc>
      </w:tr>
    </w:tbl>
    <w:p w14:paraId="42697043" w14:textId="77777777" w:rsidR="000D18B4" w:rsidRDefault="000D18B4" w:rsidP="000D18B4"/>
    <w:p w14:paraId="62049035" w14:textId="4CBC67E1" w:rsidR="000D18B4" w:rsidRDefault="000D18B4" w:rsidP="000D18B4">
      <w:r w:rsidRPr="007D2C8F">
        <w:t>Older Aboriginal and Torres Strait Islander people (76,300 persons aged 50 years and over in 2011) play a significant role in maintaining traditions and links to Indigenous culture</w:t>
      </w:r>
      <w:r w:rsidR="006B319E">
        <w:t xml:space="preserve">, in addition to the contributions </w:t>
      </w:r>
      <w:r w:rsidR="0070017C">
        <w:t>they</w:t>
      </w:r>
      <w:r w:rsidR="006B319E">
        <w:t xml:space="preserve"> make to the Queensland economy</w:t>
      </w:r>
      <w:r w:rsidRPr="007D2C8F">
        <w:t xml:space="preserve">. They are also very important and respected members of their communities as role models, supporters and educators for the young. </w:t>
      </w:r>
      <w:r w:rsidR="00816EB0">
        <w:t>Notably</w:t>
      </w:r>
      <w:r w:rsidR="006B319E">
        <w:t>, t</w:t>
      </w:r>
      <w:r w:rsidRPr="007D2C8F">
        <w:t xml:space="preserve">hey face a specific set of circumstances in relation to housing. </w:t>
      </w:r>
    </w:p>
    <w:p w14:paraId="641D213C" w14:textId="3B37BC98" w:rsidR="000D18B4" w:rsidRPr="007D2C8F" w:rsidRDefault="0085565D" w:rsidP="000D18B4">
      <w:r>
        <w:t>For the Aboriginal and Torres Strait Islander population, life expectancy is 10.6 years lower than that of the non-Indigenous population for males (69.1 years compared with 79.7) and 9.</w:t>
      </w:r>
      <w:r w:rsidR="006B319E">
        <w:t>4</w:t>
      </w:r>
      <w:r>
        <w:t xml:space="preserve"> years lower for females (73.7 compared with 83.1).</w:t>
      </w:r>
      <w:r>
        <w:rPr>
          <w:rStyle w:val="FootnoteReference"/>
        </w:rPr>
        <w:footnoteReference w:id="52"/>
      </w:r>
      <w:r>
        <w:t xml:space="preserve"> </w:t>
      </w:r>
      <w:r w:rsidR="000D18B4" w:rsidRPr="007D2C8F">
        <w:t>Due to poorer health and higher levels of socioeconomic disadvantage</w:t>
      </w:r>
      <w:r w:rsidR="0070017C">
        <w:t xml:space="preserve"> relative to the non-Indigenous population</w:t>
      </w:r>
      <w:r w:rsidR="000D18B4" w:rsidRPr="007D2C8F">
        <w:t>, the health care and support needs of older Indigenous Australians differ from those of other Australians</w:t>
      </w:r>
      <w:r w:rsidR="004A6337">
        <w:t xml:space="preserve">. Aboriginal and Torres Strait Islander people </w:t>
      </w:r>
      <w:r w:rsidR="000D18B4" w:rsidRPr="007D2C8F">
        <w:t>use these services at both higher rates and younger ages.</w:t>
      </w:r>
      <w:r w:rsidR="000D18B4" w:rsidRPr="007D2C8F">
        <w:rPr>
          <w:vertAlign w:val="superscript"/>
        </w:rPr>
        <w:footnoteReference w:id="53"/>
      </w:r>
    </w:p>
    <w:p w14:paraId="608311B3" w14:textId="5D72D461" w:rsidR="000D18B4" w:rsidRDefault="000D18B4" w:rsidP="0005526D">
      <w:r>
        <w:t>Ageing in place is more common for many Indigenous people because of the strength of connection to land, family</w:t>
      </w:r>
      <w:r w:rsidR="006B319E">
        <w:t>, community</w:t>
      </w:r>
      <w:r>
        <w:t xml:space="preserve"> and culture. Aboriginal and Torres Strait Islander people</w:t>
      </w:r>
      <w:r w:rsidR="0070017C">
        <w:t xml:space="preserve"> may require</w:t>
      </w:r>
      <w:r>
        <w:t xml:space="preserve"> </w:t>
      </w:r>
      <w:r w:rsidR="006B319E">
        <w:t xml:space="preserve">differing </w:t>
      </w:r>
      <w:r>
        <w:t>housing needs</w:t>
      </w:r>
      <w:r w:rsidR="0070017C">
        <w:t xml:space="preserve"> depending on whether they are located in </w:t>
      </w:r>
      <w:r w:rsidR="006B319E">
        <w:t>u</w:t>
      </w:r>
      <w:r>
        <w:t>rban</w:t>
      </w:r>
      <w:r w:rsidR="0070017C">
        <w:t xml:space="preserve">, </w:t>
      </w:r>
      <w:r w:rsidR="006B319E">
        <w:t>r</w:t>
      </w:r>
      <w:r>
        <w:t>egional</w:t>
      </w:r>
      <w:r w:rsidR="0070017C">
        <w:t xml:space="preserve"> or </w:t>
      </w:r>
      <w:r w:rsidR="006B319E">
        <w:t>r</w:t>
      </w:r>
      <w:r>
        <w:t xml:space="preserve">emote </w:t>
      </w:r>
      <w:r w:rsidR="0070017C">
        <w:t xml:space="preserve">locations </w:t>
      </w:r>
      <w:r>
        <w:t>(</w:t>
      </w:r>
      <w:r w:rsidR="0070017C">
        <w:t>noting that, in</w:t>
      </w:r>
      <w:r>
        <w:t xml:space="preserve"> some </w:t>
      </w:r>
      <w:r w:rsidR="0070017C">
        <w:t xml:space="preserve">remote </w:t>
      </w:r>
      <w:r>
        <w:t>communities, the majority of the population is Indigenous)</w:t>
      </w:r>
      <w:r w:rsidR="0070017C">
        <w:t>.</w:t>
      </w:r>
    </w:p>
    <w:p w14:paraId="1F4AD84C" w14:textId="55BE5294" w:rsidR="000D18B4" w:rsidRPr="007D2C8F" w:rsidRDefault="000D18B4">
      <w:r w:rsidRPr="007D2C8F">
        <w:t xml:space="preserve">While the gap between Indigenous and non-Indigenous home ownership is gradually decreasing, Indigenous people are </w:t>
      </w:r>
      <w:r w:rsidR="006B319E">
        <w:t xml:space="preserve">still </w:t>
      </w:r>
      <w:r w:rsidRPr="007D2C8F">
        <w:t>half as likely to be homeowners compared with other Queenslanders. Australia</w:t>
      </w:r>
      <w:r w:rsidR="006B319E">
        <w:t>–</w:t>
      </w:r>
      <w:r w:rsidRPr="007D2C8F">
        <w:t>wide, 11</w:t>
      </w:r>
      <w:r>
        <w:t xml:space="preserve"> per cent</w:t>
      </w:r>
      <w:r w:rsidRPr="007D2C8F">
        <w:t xml:space="preserve"> of Indigenous households own their home outright while 25</w:t>
      </w:r>
      <w:r>
        <w:t xml:space="preserve"> per cent</w:t>
      </w:r>
      <w:r w:rsidRPr="007D2C8F">
        <w:t xml:space="preserve"> were homeowners with a mortgage. They are twice as likely to be renting their accommodation, making them more vulnerable to the </w:t>
      </w:r>
      <w:r w:rsidR="00F10EBB">
        <w:t xml:space="preserve">vagaries of the </w:t>
      </w:r>
      <w:r w:rsidRPr="007D2C8F">
        <w:t>private rental market and threats of homelessness, and more likely to be dependent on social and affordable rental housing. In Queensland</w:t>
      </w:r>
      <w:r w:rsidR="00F10EBB">
        <w:t>,</w:t>
      </w:r>
      <w:r w:rsidRPr="007D2C8F">
        <w:t xml:space="preserve"> they are also four times more likely to be living in overcrowded conditions and five times more likely to use a homelessness service than non-Indigenous people.</w:t>
      </w:r>
      <w:r w:rsidRPr="007D2C8F">
        <w:rPr>
          <w:vertAlign w:val="superscript"/>
        </w:rPr>
        <w:footnoteReference w:id="54"/>
      </w:r>
      <w:r w:rsidRPr="007D2C8F">
        <w:t xml:space="preserve"> </w:t>
      </w:r>
    </w:p>
    <w:p w14:paraId="15588E0A" w14:textId="4E88666A" w:rsidR="000D18B4" w:rsidRDefault="00F10EBB" w:rsidP="000D18B4">
      <w:pPr>
        <w:contextualSpacing/>
        <w:rPr>
          <w:rFonts w:eastAsia="Times New Roman" w:cs="Times New Roman"/>
        </w:rPr>
      </w:pPr>
      <w:r>
        <w:t>T</w:t>
      </w:r>
      <w:r w:rsidR="000D18B4">
        <w:t xml:space="preserve">he Taskforce </w:t>
      </w:r>
      <w:r>
        <w:t xml:space="preserve">heard </w:t>
      </w:r>
      <w:r w:rsidR="000D18B4">
        <w:t>that past governments imposed housing design on Indigenous people. Housing for Indigenous people needs to be designed in consultation with the user to ensure suitability to older people’s needs and cultural appropriateness.</w:t>
      </w:r>
    </w:p>
    <w:p w14:paraId="014DD27B" w14:textId="77777777" w:rsidR="000D18B4" w:rsidRDefault="000D18B4" w:rsidP="000D18B4">
      <w:pPr>
        <w:pStyle w:val="Heading3"/>
        <w:numPr>
          <w:ilvl w:val="0"/>
          <w:numId w:val="0"/>
        </w:numPr>
        <w:ind w:left="1146" w:hanging="720"/>
      </w:pPr>
    </w:p>
    <w:tbl>
      <w:tblPr>
        <w:tblStyle w:val="TableGrid"/>
        <w:tblW w:w="0" w:type="auto"/>
        <w:tblLook w:val="04A0" w:firstRow="1" w:lastRow="0" w:firstColumn="1" w:lastColumn="0" w:noHBand="0" w:noVBand="1"/>
      </w:tblPr>
      <w:tblGrid>
        <w:gridCol w:w="9322"/>
      </w:tblGrid>
      <w:tr w:rsidR="000D18B4" w14:paraId="7D399336" w14:textId="77777777" w:rsidTr="00BA3344">
        <w:tc>
          <w:tcPr>
            <w:tcW w:w="9548" w:type="dxa"/>
          </w:tcPr>
          <w:p w14:paraId="219058AE" w14:textId="3743E029" w:rsidR="000D18B4" w:rsidRPr="00500DEE" w:rsidRDefault="00410AA2" w:rsidP="00BA3344">
            <w:pPr>
              <w:pStyle w:val="Boxheading"/>
            </w:pPr>
            <w:r>
              <w:t xml:space="preserve">6.4 </w:t>
            </w:r>
            <w:r w:rsidR="000D18B4" w:rsidRPr="00500DEE">
              <w:t xml:space="preserve">Recommendations - </w:t>
            </w:r>
            <w:r w:rsidR="000D18B4">
              <w:t>Home</w:t>
            </w:r>
            <w:r w:rsidR="000D18B4" w:rsidRPr="00500DEE">
              <w:t xml:space="preserve"> </w:t>
            </w:r>
            <w:r w:rsidR="00614830">
              <w:t>r</w:t>
            </w:r>
            <w:r w:rsidR="000D18B4" w:rsidRPr="00500DEE">
              <w:t xml:space="preserve">esilience </w:t>
            </w:r>
          </w:p>
          <w:p w14:paraId="39A6D431" w14:textId="77777777" w:rsidR="000D18B4" w:rsidRDefault="000D18B4" w:rsidP="00BA3344">
            <w:pPr>
              <w:spacing w:after="0" w:line="240" w:lineRule="auto"/>
              <w:contextualSpacing/>
              <w:rPr>
                <w:b/>
                <w:color w:val="FF0000"/>
              </w:rPr>
            </w:pPr>
          </w:p>
          <w:p w14:paraId="11196F76" w14:textId="644AE5A3" w:rsidR="000B3FB6" w:rsidRDefault="000B3FB6" w:rsidP="00610E6C">
            <w:pPr>
              <w:pStyle w:val="TableofFigures"/>
              <w:numPr>
                <w:ilvl w:val="0"/>
                <w:numId w:val="49"/>
              </w:numPr>
            </w:pPr>
            <w:r w:rsidRPr="00FC0A28">
              <w:t>That</w:t>
            </w:r>
            <w:r>
              <w:t xml:space="preserve"> the Queensland Government convene innovation workshops with expert facilitators to </w:t>
            </w:r>
            <w:r w:rsidR="004A6337">
              <w:t xml:space="preserve">         </w:t>
            </w:r>
            <w:r>
              <w:t>co-create with diverse cohorts of vulnerable older people (including the general older population, Aboriginal and Torres Strait Islander peoples and older people from culturally and linguistically diverse backgrounds) to:</w:t>
            </w:r>
          </w:p>
          <w:p w14:paraId="17D5AA55" w14:textId="77777777" w:rsidR="000B3FB6" w:rsidRDefault="000B3FB6" w:rsidP="00610E6C">
            <w:pPr>
              <w:pStyle w:val="TableofFigures"/>
              <w:numPr>
                <w:ilvl w:val="0"/>
                <w:numId w:val="45"/>
              </w:numPr>
            </w:pPr>
            <w:r>
              <w:t xml:space="preserve">develop strategies that support older people to transition to alternative housing as, and when, needed </w:t>
            </w:r>
          </w:p>
          <w:p w14:paraId="7AF435A6" w14:textId="77777777" w:rsidR="000B3FB6" w:rsidRDefault="000B3FB6" w:rsidP="00610E6C">
            <w:pPr>
              <w:pStyle w:val="TableofFigures"/>
              <w:numPr>
                <w:ilvl w:val="0"/>
                <w:numId w:val="45"/>
              </w:numPr>
            </w:pPr>
            <w:r>
              <w:t xml:space="preserve">develop appropriate communication and engagement mechanisms for those who need and/or want it   </w:t>
            </w:r>
          </w:p>
          <w:p w14:paraId="05BB190B" w14:textId="77777777" w:rsidR="000B3FB6" w:rsidRDefault="000B3FB6" w:rsidP="00610E6C">
            <w:pPr>
              <w:pStyle w:val="TableofFigures"/>
              <w:numPr>
                <w:ilvl w:val="0"/>
                <w:numId w:val="45"/>
              </w:numPr>
            </w:pPr>
            <w:r>
              <w:t>facilitate the co-design of new housing models to ensure suitability and cultural appropriateness.</w:t>
            </w:r>
          </w:p>
          <w:p w14:paraId="75BC78A9" w14:textId="77777777" w:rsidR="000B3FB6" w:rsidRPr="00610E6C" w:rsidRDefault="000B3FB6" w:rsidP="00610E6C">
            <w:pPr>
              <w:pStyle w:val="TableofFigures"/>
              <w:numPr>
                <w:ilvl w:val="0"/>
                <w:numId w:val="54"/>
              </w:numPr>
              <w:rPr>
                <w:rFonts w:eastAsiaTheme="minorEastAsia"/>
                <w:lang w:eastAsia="en-AU"/>
              </w:rPr>
            </w:pPr>
            <w:r w:rsidRPr="00E4297C">
              <w:t>That</w:t>
            </w:r>
            <w:r>
              <w:t xml:space="preserve"> the Queensland Government retain and expand its investment in critical and cost-effective Home Assist Secure services, to support ageing in place.</w:t>
            </w:r>
          </w:p>
          <w:p w14:paraId="5A6DD80A" w14:textId="5BE22338" w:rsidR="000B3FB6" w:rsidRDefault="000B3FB6" w:rsidP="00610E6C">
            <w:pPr>
              <w:pStyle w:val="TableofFigures"/>
            </w:pPr>
            <w:r>
              <w:t>That the Queensland Government adopt a policy position to mandate that all new housing and retrofits be designed to universal housing design standards in order to facilitate an appropriate stock of accessible housing into the future</w:t>
            </w:r>
            <w:r w:rsidR="00C9700B">
              <w:t xml:space="preserve">, consistent with commitments made in the Council of Australian Governments’ </w:t>
            </w:r>
            <w:r w:rsidR="00C9700B" w:rsidRPr="00467737">
              <w:rPr>
                <w:i/>
              </w:rPr>
              <w:t>National Disability Strategy 2010-2020</w:t>
            </w:r>
            <w:r>
              <w:t xml:space="preserve">.* This would include development of a strategic plan to achieve a mandated regime by 2020. The strategic plan could include steps to implementation including aspects such as innovation in design, changes to the planning regime and building codes and industry education. Innovative design options could be supported through a grants round similar to the </w:t>
            </w:r>
            <w:r>
              <w:rPr>
                <w:i/>
              </w:rPr>
              <w:t>Advance Queensland Small Business Innovation Research</w:t>
            </w:r>
            <w:r>
              <w:t xml:space="preserve"> pilot or </w:t>
            </w:r>
            <w:r>
              <w:rPr>
                <w:i/>
              </w:rPr>
              <w:t>Advance Queensland Strategy</w:t>
            </w:r>
            <w:r>
              <w:t>.</w:t>
            </w:r>
          </w:p>
          <w:p w14:paraId="0C8227DF" w14:textId="2E0F530F" w:rsidR="000D18B4" w:rsidRDefault="000B3FB6" w:rsidP="00911F41">
            <w:pPr>
              <w:spacing w:after="0" w:line="240" w:lineRule="auto"/>
              <w:contextualSpacing/>
              <w:rPr>
                <w:highlight w:val="yellow"/>
              </w:rPr>
            </w:pPr>
            <w:r>
              <w:t xml:space="preserve">* Note a contrary view was expressed by one Taskforce member. See Chapter 6.2 and Appendix 5. </w:t>
            </w:r>
          </w:p>
          <w:p w14:paraId="522C0145" w14:textId="77777777" w:rsidR="000D18B4" w:rsidRDefault="000D18B4" w:rsidP="00BA3344"/>
        </w:tc>
      </w:tr>
    </w:tbl>
    <w:p w14:paraId="24D189C3" w14:textId="77777777" w:rsidR="000D18B4" w:rsidRDefault="000D18B4" w:rsidP="000D18B4">
      <w:pPr>
        <w:spacing w:after="0" w:line="240" w:lineRule="auto"/>
        <w:ind w:left="1440"/>
        <w:contextualSpacing/>
        <w:rPr>
          <w:highlight w:val="yellow"/>
        </w:rPr>
      </w:pPr>
    </w:p>
    <w:p w14:paraId="159EBD28" w14:textId="77777777" w:rsidR="002C521F" w:rsidRDefault="002C521F" w:rsidP="000D18B4">
      <w:pPr>
        <w:spacing w:after="0" w:line="240" w:lineRule="auto"/>
        <w:ind w:left="1440"/>
        <w:contextualSpacing/>
        <w:rPr>
          <w:highlight w:val="yellow"/>
        </w:rPr>
      </w:pPr>
      <w:r>
        <w:rPr>
          <w:highlight w:val="yellow"/>
        </w:rPr>
        <w:br w:type="page"/>
      </w:r>
    </w:p>
    <w:p w14:paraId="683AED32" w14:textId="1CF22D69" w:rsidR="000D18B4" w:rsidRDefault="00EA19D6" w:rsidP="000D18B4">
      <w:pPr>
        <w:pStyle w:val="Heading1"/>
        <w:rPr>
          <w:rFonts w:eastAsia="Times New Roman"/>
        </w:rPr>
      </w:pPr>
      <w:bookmarkStart w:id="826" w:name="_Toc460257510"/>
      <w:r>
        <w:rPr>
          <w:rFonts w:eastAsia="Times New Roman"/>
        </w:rPr>
        <w:lastRenderedPageBreak/>
        <w:t>FINDINGS – SUITABLE HOUSING OPTIONS</w:t>
      </w:r>
      <w:bookmarkEnd w:id="826"/>
    </w:p>
    <w:p w14:paraId="37AA7A38" w14:textId="4879F517" w:rsidR="000D18B4" w:rsidRPr="006B60A3" w:rsidRDefault="000D18B4" w:rsidP="000D18B4">
      <w:pPr>
        <w:spacing w:line="240" w:lineRule="auto"/>
        <w:rPr>
          <w:rFonts w:eastAsia="Times New Roman" w:cs="Times New Roman"/>
          <w:color w:val="4F81BD" w:themeColor="accent1"/>
        </w:rPr>
      </w:pPr>
      <w:r w:rsidRPr="006B60A3">
        <w:rPr>
          <w:rFonts w:eastAsia="Times New Roman" w:cs="Times New Roman"/>
          <w:color w:val="4F81BD" w:themeColor="accent1"/>
        </w:rPr>
        <w:t xml:space="preserve">Suitable </w:t>
      </w:r>
      <w:r w:rsidR="00EA19D6">
        <w:rPr>
          <w:rFonts w:eastAsia="Times New Roman" w:cs="Times New Roman"/>
          <w:color w:val="4F81BD" w:themeColor="accent1"/>
        </w:rPr>
        <w:t>h</w:t>
      </w:r>
      <w:r w:rsidRPr="006B60A3">
        <w:rPr>
          <w:rFonts w:eastAsia="Times New Roman" w:cs="Times New Roman"/>
          <w:color w:val="4F81BD" w:themeColor="accent1"/>
        </w:rPr>
        <w:t xml:space="preserve">ousing </w:t>
      </w:r>
      <w:r w:rsidR="00EA19D6">
        <w:rPr>
          <w:rFonts w:eastAsia="Times New Roman" w:cs="Times New Roman"/>
          <w:color w:val="4F81BD" w:themeColor="accent1"/>
        </w:rPr>
        <w:t>o</w:t>
      </w:r>
      <w:r w:rsidRPr="006B60A3">
        <w:rPr>
          <w:rFonts w:eastAsia="Times New Roman" w:cs="Times New Roman"/>
          <w:color w:val="4F81BD" w:themeColor="accent1"/>
        </w:rPr>
        <w:t>ptions refers to the factors that influence the supply of housing</w:t>
      </w:r>
      <w:r w:rsidR="00EA19D6">
        <w:rPr>
          <w:rFonts w:eastAsia="Times New Roman" w:cs="Times New Roman"/>
          <w:color w:val="4F81BD" w:themeColor="accent1"/>
        </w:rPr>
        <w:t>,</w:t>
      </w:r>
      <w:r w:rsidRPr="006B60A3">
        <w:rPr>
          <w:rFonts w:eastAsia="Times New Roman" w:cs="Times New Roman"/>
          <w:color w:val="4F81BD" w:themeColor="accent1"/>
        </w:rPr>
        <w:t xml:space="preserve"> including land availability, planning flexibility, diversity of accommodation options and design</w:t>
      </w:r>
      <w:r w:rsidR="00EA19D6">
        <w:rPr>
          <w:rFonts w:eastAsia="Times New Roman" w:cs="Times New Roman"/>
          <w:color w:val="4F81BD" w:themeColor="accent1"/>
        </w:rPr>
        <w:t>s,</w:t>
      </w:r>
      <w:r w:rsidRPr="006B60A3">
        <w:rPr>
          <w:rFonts w:eastAsia="Times New Roman" w:cs="Times New Roman"/>
          <w:color w:val="4F81BD" w:themeColor="accent1"/>
        </w:rPr>
        <w:t xml:space="preserve"> and diversity of financial options that enable housing choices.</w:t>
      </w:r>
    </w:p>
    <w:p w14:paraId="221F9521" w14:textId="77777777" w:rsidR="000D18B4" w:rsidRPr="00911F41" w:rsidRDefault="000D18B4" w:rsidP="000D18B4">
      <w:pPr>
        <w:spacing w:line="240" w:lineRule="auto"/>
        <w:rPr>
          <w:rFonts w:asciiTheme="majorHAnsi" w:eastAsiaTheme="majorEastAsia" w:hAnsiTheme="majorHAnsi" w:cs="Times New Roman"/>
          <w:color w:val="365F91" w:themeColor="accent1" w:themeShade="BF"/>
          <w:sz w:val="26"/>
          <w:szCs w:val="26"/>
        </w:rPr>
      </w:pPr>
      <w:r w:rsidRPr="00911F41">
        <w:rPr>
          <w:rFonts w:asciiTheme="majorHAnsi" w:eastAsiaTheme="majorEastAsia" w:hAnsiTheme="majorHAnsi" w:cs="Times New Roman"/>
          <w:color w:val="365F91" w:themeColor="accent1" w:themeShade="BF"/>
          <w:sz w:val="26"/>
          <w:szCs w:val="26"/>
        </w:rPr>
        <w:t>What success looks like</w:t>
      </w:r>
    </w:p>
    <w:p w14:paraId="30A8E436" w14:textId="4EE46101" w:rsidR="000D18B4" w:rsidRPr="001B0F30" w:rsidRDefault="000D18B4" w:rsidP="000D18B4">
      <w:pPr>
        <w:spacing w:line="240" w:lineRule="auto"/>
        <w:rPr>
          <w:rFonts w:eastAsia="Times New Roman" w:cs="Times New Roman"/>
        </w:rPr>
      </w:pPr>
      <w:r w:rsidRPr="001B0F30">
        <w:rPr>
          <w:rFonts w:eastAsia="Times New Roman" w:cs="Times New Roman"/>
        </w:rPr>
        <w:t>Each neighbourhood in Queensland, including regional and remote areas, has a supply of adaptable housing and a sufficient variety of housing sizes and types to provide for people at different stages of their lives. Government and community planning schemes and decisions about new and existing housing support the development of diverse housing types</w:t>
      </w:r>
      <w:r w:rsidR="00EA19D6">
        <w:rPr>
          <w:rFonts w:eastAsia="Times New Roman" w:cs="Times New Roman"/>
        </w:rPr>
        <w:t>.</w:t>
      </w:r>
      <w:r w:rsidRPr="001B0F30">
        <w:rPr>
          <w:rFonts w:eastAsia="Times New Roman" w:cs="Times New Roman"/>
        </w:rPr>
        <w:t xml:space="preserve"> </w:t>
      </w:r>
      <w:r w:rsidR="00EA19D6">
        <w:rPr>
          <w:rFonts w:eastAsia="Times New Roman" w:cs="Times New Roman"/>
        </w:rPr>
        <w:t xml:space="preserve">They </w:t>
      </w:r>
      <w:r w:rsidRPr="001B0F30">
        <w:rPr>
          <w:rFonts w:eastAsia="Times New Roman" w:cs="Times New Roman"/>
        </w:rPr>
        <w:t xml:space="preserve">cater for older people with diverse preferences and different household sizes and familial relationships.  </w:t>
      </w:r>
    </w:p>
    <w:p w14:paraId="5A47C18F" w14:textId="2D65DBF7" w:rsidR="000D18B4" w:rsidRDefault="000D18B4" w:rsidP="000D18B4">
      <w:pPr>
        <w:spacing w:line="240" w:lineRule="auto"/>
        <w:rPr>
          <w:rFonts w:eastAsia="Times New Roman" w:cs="Times New Roman"/>
        </w:rPr>
      </w:pPr>
      <w:r w:rsidRPr="001B0F30">
        <w:rPr>
          <w:rFonts w:eastAsia="Times New Roman" w:cs="Times New Roman"/>
        </w:rPr>
        <w:t xml:space="preserve">Older Queenslanders can confidently </w:t>
      </w:r>
      <w:r>
        <w:rPr>
          <w:rFonts w:eastAsia="Times New Roman" w:cs="Times New Roman"/>
        </w:rPr>
        <w:t>access and use</w:t>
      </w:r>
      <w:r w:rsidRPr="001B0F30">
        <w:rPr>
          <w:rFonts w:eastAsia="Times New Roman" w:cs="Times New Roman"/>
        </w:rPr>
        <w:t xml:space="preserve"> financial products that are reliable, flexible and ethical, allowing them to </w:t>
      </w:r>
      <w:r>
        <w:rPr>
          <w:rFonts w:eastAsia="Times New Roman" w:cs="Times New Roman"/>
        </w:rPr>
        <w:t>utilise</w:t>
      </w:r>
      <w:r w:rsidRPr="001B0F30">
        <w:rPr>
          <w:rFonts w:eastAsia="Times New Roman" w:cs="Times New Roman"/>
        </w:rPr>
        <w:t xml:space="preserve"> their existing </w:t>
      </w:r>
      <w:r>
        <w:rPr>
          <w:rFonts w:eastAsia="Times New Roman" w:cs="Times New Roman"/>
        </w:rPr>
        <w:t xml:space="preserve">home </w:t>
      </w:r>
      <w:r w:rsidRPr="001B0F30">
        <w:rPr>
          <w:rFonts w:eastAsia="Times New Roman" w:cs="Times New Roman"/>
        </w:rPr>
        <w:t>equity to access care and accommodation</w:t>
      </w:r>
      <w:r w:rsidR="00EA19D6" w:rsidRPr="00EA19D6">
        <w:rPr>
          <w:rFonts w:eastAsia="Times New Roman" w:cs="Times New Roman"/>
        </w:rPr>
        <w:t xml:space="preserve"> </w:t>
      </w:r>
      <w:r w:rsidR="00EA19D6" w:rsidRPr="001B0F30">
        <w:rPr>
          <w:rFonts w:eastAsia="Times New Roman" w:cs="Times New Roman"/>
        </w:rPr>
        <w:t>should they wish</w:t>
      </w:r>
      <w:r w:rsidRPr="001B0F30">
        <w:rPr>
          <w:rFonts w:eastAsia="Times New Roman" w:cs="Times New Roman"/>
        </w:rPr>
        <w:t xml:space="preserve">. Financial products are supported by simple contractual and legal arrangements with standardised terms </w:t>
      </w:r>
      <w:r w:rsidR="00EA19D6">
        <w:rPr>
          <w:rFonts w:eastAsia="Times New Roman" w:cs="Times New Roman"/>
        </w:rPr>
        <w:t>and</w:t>
      </w:r>
      <w:r w:rsidRPr="001B0F30">
        <w:rPr>
          <w:rFonts w:eastAsia="Times New Roman" w:cs="Times New Roman"/>
        </w:rPr>
        <w:t xml:space="preserve"> the flexibility to adapt to the needs of older </w:t>
      </w:r>
      <w:r>
        <w:rPr>
          <w:rFonts w:eastAsia="Times New Roman" w:cs="Times New Roman"/>
        </w:rPr>
        <w:t>consumers</w:t>
      </w:r>
      <w:r w:rsidRPr="001B0F30">
        <w:rPr>
          <w:rFonts w:eastAsia="Times New Roman" w:cs="Times New Roman"/>
        </w:rPr>
        <w:t xml:space="preserve">. These financial products are backed by investment and development models that </w:t>
      </w:r>
      <w:r w:rsidR="002042A1">
        <w:rPr>
          <w:rFonts w:eastAsia="Times New Roman" w:cs="Times New Roman"/>
        </w:rPr>
        <w:t>allow</w:t>
      </w:r>
      <w:r w:rsidR="002042A1" w:rsidRPr="001B0F30">
        <w:rPr>
          <w:rFonts w:eastAsia="Times New Roman" w:cs="Times New Roman"/>
        </w:rPr>
        <w:t xml:space="preserve"> </w:t>
      </w:r>
      <w:r w:rsidRPr="001B0F30">
        <w:rPr>
          <w:rFonts w:eastAsia="Times New Roman" w:cs="Times New Roman"/>
        </w:rPr>
        <w:t>financial institutions to offer flexible and attractive products and services to older Queenslanders.</w:t>
      </w:r>
    </w:p>
    <w:p w14:paraId="0DD971E7" w14:textId="715D91B3" w:rsidR="000D18B4" w:rsidRPr="00E63D29" w:rsidRDefault="000D18B4" w:rsidP="000D18B4">
      <w:pPr>
        <w:pStyle w:val="Heading2"/>
        <w:rPr>
          <w:lang w:val="en-US"/>
        </w:rPr>
      </w:pPr>
      <w:bookmarkStart w:id="827" w:name="_Toc460257511"/>
      <w:r>
        <w:rPr>
          <w:lang w:val="en-US"/>
        </w:rPr>
        <w:t>Diversity of accommodation options</w:t>
      </w:r>
      <w:bookmarkEnd w:id="827"/>
      <w:r>
        <w:rPr>
          <w:lang w:val="en-US"/>
        </w:rPr>
        <w:t xml:space="preserve"> </w:t>
      </w:r>
    </w:p>
    <w:tbl>
      <w:tblPr>
        <w:tblStyle w:val="TableGrid"/>
        <w:tblW w:w="0" w:type="auto"/>
        <w:tblLook w:val="04A0" w:firstRow="1" w:lastRow="0" w:firstColumn="1" w:lastColumn="0" w:noHBand="0" w:noVBand="1"/>
      </w:tblPr>
      <w:tblGrid>
        <w:gridCol w:w="9322"/>
      </w:tblGrid>
      <w:tr w:rsidR="000D18B4" w14:paraId="2196FD85" w14:textId="77777777" w:rsidTr="00BA3344">
        <w:tc>
          <w:tcPr>
            <w:tcW w:w="9548" w:type="dxa"/>
          </w:tcPr>
          <w:p w14:paraId="69F3746C" w14:textId="77777777" w:rsidR="000D18B4" w:rsidRDefault="000D18B4" w:rsidP="00BA3344">
            <w:pPr>
              <w:pStyle w:val="Boxheading"/>
            </w:pPr>
            <w:r>
              <w:t xml:space="preserve">Issues </w:t>
            </w:r>
          </w:p>
          <w:p w14:paraId="21AB127A" w14:textId="470B95A4" w:rsidR="005F6E9C" w:rsidRDefault="005F6E9C" w:rsidP="00E338E7">
            <w:pPr>
              <w:pStyle w:val="ListParagraph"/>
              <w:numPr>
                <w:ilvl w:val="0"/>
                <w:numId w:val="46"/>
              </w:numPr>
              <w:spacing w:after="0" w:line="240" w:lineRule="auto"/>
            </w:pPr>
            <w:r>
              <w:t>Older people are diverse.   A wider range of housing options is needed to cater for that diversity.</w:t>
            </w:r>
          </w:p>
          <w:p w14:paraId="3DD2D708" w14:textId="3AF083B3" w:rsidR="000D18B4" w:rsidRPr="005265E1" w:rsidRDefault="000D18B4" w:rsidP="00E338E7">
            <w:pPr>
              <w:pStyle w:val="ListParagraph"/>
              <w:numPr>
                <w:ilvl w:val="0"/>
                <w:numId w:val="46"/>
              </w:numPr>
              <w:spacing w:after="0" w:line="240" w:lineRule="auto"/>
            </w:pPr>
            <w:r>
              <w:t xml:space="preserve">Housing for older people needs to </w:t>
            </w:r>
            <w:r w:rsidR="002042A1">
              <w:t>take account of</w:t>
            </w:r>
            <w:r>
              <w:t xml:space="preserve"> the circumstances of those caring for others</w:t>
            </w:r>
            <w:r w:rsidR="002042A1">
              <w:t>.</w:t>
            </w:r>
            <w:r>
              <w:t xml:space="preserve"> </w:t>
            </w:r>
          </w:p>
          <w:p w14:paraId="5C90172F" w14:textId="5D618288" w:rsidR="000D18B4" w:rsidRDefault="000D18B4" w:rsidP="00E338E7">
            <w:pPr>
              <w:pStyle w:val="ListParagraph"/>
              <w:numPr>
                <w:ilvl w:val="0"/>
                <w:numId w:val="46"/>
              </w:numPr>
              <w:spacing w:after="0" w:line="240" w:lineRule="auto"/>
            </w:pPr>
            <w:r w:rsidRPr="00773B90">
              <w:t>Accommodation</w:t>
            </w:r>
            <w:r>
              <w:t xml:space="preserve"> designed for</w:t>
            </w:r>
            <w:r w:rsidRPr="00900D61">
              <w:t xml:space="preserve"> older people is not</w:t>
            </w:r>
            <w:r>
              <w:t xml:space="preserve"> always located in the </w:t>
            </w:r>
            <w:r w:rsidRPr="00900D61">
              <w:t>communities</w:t>
            </w:r>
            <w:r>
              <w:t xml:space="preserve"> where they would like to live. Some ‘seniors’ </w:t>
            </w:r>
            <w:r w:rsidRPr="00773B90">
              <w:t>accommodation</w:t>
            </w:r>
            <w:r>
              <w:t xml:space="preserve"> can be far</w:t>
            </w:r>
            <w:r w:rsidRPr="00900D61">
              <w:t xml:space="preserve"> from services and </w:t>
            </w:r>
            <w:r w:rsidR="002042A1">
              <w:t>lack</w:t>
            </w:r>
            <w:r w:rsidR="002042A1" w:rsidRPr="00900D61">
              <w:t xml:space="preserve"> </w:t>
            </w:r>
            <w:r w:rsidRPr="00900D61">
              <w:t>access to reliable transport</w:t>
            </w:r>
            <w:r w:rsidR="002042A1">
              <w:t>.</w:t>
            </w:r>
          </w:p>
          <w:p w14:paraId="1ED658A4" w14:textId="62C8ADE5" w:rsidR="000D18B4" w:rsidRPr="002114CB" w:rsidRDefault="000D18B4" w:rsidP="00E338E7">
            <w:pPr>
              <w:pStyle w:val="ListParagraph"/>
              <w:numPr>
                <w:ilvl w:val="0"/>
                <w:numId w:val="46"/>
              </w:numPr>
              <w:spacing w:after="0" w:line="240" w:lineRule="auto"/>
            </w:pPr>
            <w:r>
              <w:t xml:space="preserve">Housing may not cater for people’s needs, including </w:t>
            </w:r>
            <w:r w:rsidR="002042A1">
              <w:t xml:space="preserve">their </w:t>
            </w:r>
            <w:r>
              <w:t>cultural requirements</w:t>
            </w:r>
            <w:r w:rsidR="002042A1">
              <w:t>.</w:t>
            </w:r>
          </w:p>
          <w:p w14:paraId="20135B01" w14:textId="77777777" w:rsidR="000D18B4" w:rsidRDefault="000D18B4" w:rsidP="00BA3344">
            <w:pPr>
              <w:spacing w:after="0" w:line="240" w:lineRule="auto"/>
              <w:contextualSpacing/>
              <w:rPr>
                <w:rFonts w:asciiTheme="majorHAnsi" w:eastAsiaTheme="majorEastAsia" w:hAnsiTheme="majorHAnsi" w:cstheme="majorBidi"/>
                <w:b/>
                <w:sz w:val="26"/>
                <w:szCs w:val="26"/>
              </w:rPr>
            </w:pPr>
          </w:p>
        </w:tc>
      </w:tr>
    </w:tbl>
    <w:p w14:paraId="3888AE16" w14:textId="77777777" w:rsidR="000D18B4" w:rsidRDefault="000D18B4" w:rsidP="000D18B4">
      <w:pPr>
        <w:spacing w:line="240" w:lineRule="auto"/>
        <w:rPr>
          <w:rFonts w:eastAsia="Times New Roman" w:cs="Times New Roman"/>
        </w:rPr>
      </w:pPr>
    </w:p>
    <w:p w14:paraId="6F8337C3" w14:textId="502C1C01" w:rsidR="000D18B4" w:rsidRDefault="000D18B4" w:rsidP="000D18B4">
      <w:pPr>
        <w:spacing w:line="240" w:lineRule="auto"/>
      </w:pPr>
      <w:r>
        <w:rPr>
          <w:rFonts w:eastAsia="Times New Roman" w:cs="Times New Roman"/>
        </w:rPr>
        <w:t xml:space="preserve">Community consultation </w:t>
      </w:r>
      <w:r w:rsidR="002042A1">
        <w:rPr>
          <w:rFonts w:eastAsia="Times New Roman" w:cs="Times New Roman"/>
        </w:rPr>
        <w:t xml:space="preserve">by the Taskforce </w:t>
      </w:r>
      <w:r>
        <w:rPr>
          <w:rFonts w:eastAsia="Times New Roman" w:cs="Times New Roman"/>
        </w:rPr>
        <w:t xml:space="preserve">confirmed that whilst some people prefer to live alone or as couples, others may prefer to live in multi-generational households. Whilst most people wish to live in intergenerational communities, some people prefer to live in ‘seniors only’ </w:t>
      </w:r>
      <w:r w:rsidR="002042A1">
        <w:rPr>
          <w:rFonts w:eastAsia="Times New Roman" w:cs="Times New Roman"/>
        </w:rPr>
        <w:t>settings</w:t>
      </w:r>
      <w:r>
        <w:rPr>
          <w:rFonts w:eastAsia="Times New Roman" w:cs="Times New Roman"/>
        </w:rPr>
        <w:t>. In addition, some older people are caring for others</w:t>
      </w:r>
      <w:r w:rsidR="002042A1">
        <w:rPr>
          <w:rFonts w:eastAsia="Times New Roman" w:cs="Times New Roman"/>
        </w:rPr>
        <w:t>,</w:t>
      </w:r>
      <w:r>
        <w:rPr>
          <w:rFonts w:eastAsia="Times New Roman" w:cs="Times New Roman"/>
        </w:rPr>
        <w:t xml:space="preserve"> including spouses, children with a disability or grandchildren.</w:t>
      </w:r>
      <w:r w:rsidR="00245F3D">
        <w:t xml:space="preserve"> </w:t>
      </w:r>
      <w:r>
        <w:t>A spectrum of housing options and choices need</w:t>
      </w:r>
      <w:r w:rsidR="002042A1">
        <w:t>s</w:t>
      </w:r>
      <w:r>
        <w:t xml:space="preserve"> to exist in the community to cater to that diversity.  </w:t>
      </w:r>
    </w:p>
    <w:p w14:paraId="17FF1912" w14:textId="473B20E3" w:rsidR="000D18B4" w:rsidRDefault="000D18B4" w:rsidP="000D18B4">
      <w:pPr>
        <w:rPr>
          <w:rFonts w:eastAsia="Times New Roman" w:cs="Times New Roman"/>
        </w:rPr>
      </w:pPr>
      <w:r w:rsidRPr="00AD3C93">
        <w:t xml:space="preserve">The Taskforce and Expert Reference Group </w:t>
      </w:r>
      <w:r w:rsidR="002042A1">
        <w:t>considered</w:t>
      </w:r>
      <w:r w:rsidR="002042A1" w:rsidRPr="00AD3C93">
        <w:t xml:space="preserve"> </w:t>
      </w:r>
      <w:r>
        <w:t xml:space="preserve">the concept that </w:t>
      </w:r>
      <w:r w:rsidRPr="00AD3C93">
        <w:t>planning and housing policies and instruments need to provide for a diversity of housing types, age friendly design and mixed use development</w:t>
      </w:r>
      <w:r w:rsidR="002042A1">
        <w:t>,</w:t>
      </w:r>
      <w:r w:rsidRPr="00AD3C93">
        <w:t xml:space="preserve"> located close to appropriate transport options.  </w:t>
      </w:r>
    </w:p>
    <w:p w14:paraId="30718A4D" w14:textId="75F01C66" w:rsidR="000D18B4" w:rsidRDefault="000D18B4" w:rsidP="000D18B4">
      <w:pPr>
        <w:pStyle w:val="Heading2"/>
      </w:pPr>
      <w:bookmarkStart w:id="828" w:name="_Toc460257512"/>
      <w:r w:rsidRPr="007A0B19">
        <w:lastRenderedPageBreak/>
        <w:t xml:space="preserve">Affordability </w:t>
      </w:r>
      <w:r>
        <w:t>and accessibility of housing</w:t>
      </w:r>
      <w:bookmarkEnd w:id="828"/>
    </w:p>
    <w:tbl>
      <w:tblPr>
        <w:tblStyle w:val="TableGrid"/>
        <w:tblW w:w="0" w:type="auto"/>
        <w:tblLook w:val="04A0" w:firstRow="1" w:lastRow="0" w:firstColumn="1" w:lastColumn="0" w:noHBand="0" w:noVBand="1"/>
      </w:tblPr>
      <w:tblGrid>
        <w:gridCol w:w="9322"/>
      </w:tblGrid>
      <w:tr w:rsidR="000D18B4" w14:paraId="4F9FA0B2" w14:textId="77777777" w:rsidTr="00BA3344">
        <w:tc>
          <w:tcPr>
            <w:tcW w:w="9548" w:type="dxa"/>
          </w:tcPr>
          <w:p w14:paraId="0ED37FBF" w14:textId="77777777" w:rsidR="000D18B4" w:rsidRDefault="000D18B4" w:rsidP="00BA3344">
            <w:pPr>
              <w:pStyle w:val="Boxheading"/>
            </w:pPr>
            <w:r>
              <w:t xml:space="preserve">Issues </w:t>
            </w:r>
          </w:p>
          <w:p w14:paraId="62D878B5" w14:textId="02A7CE75" w:rsidR="000D18B4" w:rsidRDefault="000D18B4" w:rsidP="00911F41">
            <w:pPr>
              <w:numPr>
                <w:ilvl w:val="0"/>
                <w:numId w:val="7"/>
              </w:numPr>
              <w:spacing w:after="0" w:line="240" w:lineRule="auto"/>
              <w:contextualSpacing/>
            </w:pPr>
            <w:r>
              <w:t xml:space="preserve">There is insufficient affordable housing in new developments built to </w:t>
            </w:r>
            <w:r w:rsidR="00F749A7">
              <w:t>u</w:t>
            </w:r>
            <w:r>
              <w:t xml:space="preserve">niversal </w:t>
            </w:r>
            <w:r w:rsidR="00F749A7">
              <w:t>h</w:t>
            </w:r>
            <w:r>
              <w:t xml:space="preserve">ousing </w:t>
            </w:r>
            <w:r w:rsidR="00F749A7">
              <w:t>d</w:t>
            </w:r>
            <w:r>
              <w:t>esign standards</w:t>
            </w:r>
            <w:r w:rsidR="00F749A7">
              <w:t>.</w:t>
            </w:r>
          </w:p>
          <w:p w14:paraId="259BAC0B" w14:textId="70AE9B48" w:rsidR="000D18B4" w:rsidRDefault="000D18B4" w:rsidP="00911F41">
            <w:pPr>
              <w:numPr>
                <w:ilvl w:val="0"/>
                <w:numId w:val="7"/>
              </w:numPr>
              <w:spacing w:after="0" w:line="240" w:lineRule="auto"/>
              <w:contextualSpacing/>
            </w:pPr>
            <w:r>
              <w:t>Affordable housing that is adaptable and accessible is not always considered of high importance in planning schemes and residential developments</w:t>
            </w:r>
            <w:r w:rsidR="00740A80">
              <w:t>.</w:t>
            </w:r>
          </w:p>
          <w:p w14:paraId="6023F83D" w14:textId="77777777" w:rsidR="000D18B4" w:rsidRDefault="000D18B4" w:rsidP="00911F41">
            <w:pPr>
              <w:numPr>
                <w:ilvl w:val="0"/>
                <w:numId w:val="7"/>
              </w:numPr>
              <w:spacing w:after="0" w:line="240" w:lineRule="auto"/>
              <w:contextualSpacing/>
            </w:pPr>
            <w:r w:rsidRPr="00ED7431">
              <w:t xml:space="preserve">Planning schemes are restrictive, inflexible and time consuming, providing the biggest barrier to </w:t>
            </w:r>
            <w:r>
              <w:t>developing new housing options</w:t>
            </w:r>
            <w:r w:rsidRPr="00ED7431">
              <w:t xml:space="preserve">.  </w:t>
            </w:r>
          </w:p>
          <w:p w14:paraId="5EF7189F" w14:textId="2E0D486F" w:rsidR="000D18B4" w:rsidRDefault="000D18B4" w:rsidP="00911F41">
            <w:pPr>
              <w:numPr>
                <w:ilvl w:val="0"/>
                <w:numId w:val="7"/>
              </w:numPr>
              <w:spacing w:after="0" w:line="240" w:lineRule="auto"/>
              <w:contextualSpacing/>
            </w:pPr>
            <w:r>
              <w:t xml:space="preserve">Land is often </w:t>
            </w:r>
            <w:r w:rsidR="004B4249">
              <w:t>un</w:t>
            </w:r>
            <w:r>
              <w:t>available for senior housing in the areas where it is needed</w:t>
            </w:r>
            <w:r w:rsidR="004B4249">
              <w:t>.</w:t>
            </w:r>
          </w:p>
          <w:p w14:paraId="48786B25" w14:textId="704480E0" w:rsidR="000D18B4" w:rsidRDefault="000D18B4" w:rsidP="00911F41">
            <w:pPr>
              <w:numPr>
                <w:ilvl w:val="0"/>
                <w:numId w:val="7"/>
              </w:numPr>
              <w:spacing w:after="0" w:line="240" w:lineRule="auto"/>
              <w:contextualSpacing/>
            </w:pPr>
            <w:r>
              <w:t>Housing suppliers are impacted by regulation in terms of costs, red-tape and time</w:t>
            </w:r>
            <w:r w:rsidR="004B4249">
              <w:t>.</w:t>
            </w:r>
          </w:p>
          <w:p w14:paraId="4EB34D0C" w14:textId="77777777" w:rsidR="000D18B4" w:rsidRDefault="000D18B4" w:rsidP="00BA3344">
            <w:pPr>
              <w:keepNext/>
              <w:keepLines/>
              <w:spacing w:before="40"/>
              <w:outlineLvl w:val="1"/>
              <w:rPr>
                <w:rFonts w:asciiTheme="majorHAnsi" w:eastAsiaTheme="majorEastAsia" w:hAnsiTheme="majorHAnsi" w:cstheme="majorBidi"/>
                <w:b/>
                <w:sz w:val="26"/>
                <w:szCs w:val="26"/>
              </w:rPr>
            </w:pPr>
          </w:p>
        </w:tc>
      </w:tr>
    </w:tbl>
    <w:p w14:paraId="39E4B69D" w14:textId="77777777" w:rsidR="000D18B4" w:rsidRDefault="000D18B4" w:rsidP="000D18B4"/>
    <w:p w14:paraId="163E78BC" w14:textId="024B4201" w:rsidR="000D18B4" w:rsidRDefault="000D18B4" w:rsidP="000D18B4">
      <w:r>
        <w:t xml:space="preserve">The majority of older people access housing in the private market either through home ownership or private rental. To a lesser extent, retirement villages and manufactured home park operators provide housing </w:t>
      </w:r>
      <w:r w:rsidR="00C445FC">
        <w:t xml:space="preserve">that </w:t>
      </w:r>
      <w:r>
        <w:t xml:space="preserve">is regulated and designed specifically for older people.  </w:t>
      </w:r>
    </w:p>
    <w:p w14:paraId="75AA73A6" w14:textId="08D46565" w:rsidR="000D18B4" w:rsidRDefault="00D314B5" w:rsidP="000D18B4">
      <w:r>
        <w:t>Figure</w:t>
      </w:r>
      <w:r w:rsidR="000D18B4">
        <w:t xml:space="preserve"> 3 shows the spectrum of housing options. Households in any of these categories can experience housing stress </w:t>
      </w:r>
      <w:r w:rsidR="00C445FC">
        <w:t xml:space="preserve">(that is, </w:t>
      </w:r>
      <w:r w:rsidR="000D18B4">
        <w:t>spending more than 30</w:t>
      </w:r>
      <w:r w:rsidR="003D64E0">
        <w:t xml:space="preserve"> per cent</w:t>
      </w:r>
      <w:r w:rsidR="000D18B4">
        <w:t xml:space="preserve"> of their income on housing costs</w:t>
      </w:r>
      <w:r w:rsidR="00C445FC">
        <w:t>)</w:t>
      </w:r>
      <w:r w:rsidR="000D18B4">
        <w:t>. Where people experience difficulty in accessing housing in the private market, the government provides a range of measures</w:t>
      </w:r>
      <w:r w:rsidR="00C445FC">
        <w:t>, such as social housing,</w:t>
      </w:r>
      <w:r w:rsidR="000D18B4">
        <w:t xml:space="preserve"> to assist people to </w:t>
      </w:r>
      <w:r w:rsidR="00C445FC">
        <w:t xml:space="preserve">access and </w:t>
      </w:r>
      <w:r w:rsidR="000D18B4">
        <w:t xml:space="preserve">maintain housing. These assistance measures are listed at Appendix </w:t>
      </w:r>
      <w:r w:rsidR="009B79C4">
        <w:t>6</w:t>
      </w:r>
      <w:r w:rsidR="000D18B4">
        <w:t>. In addition, non-government and private sector organisations provide affordable housing options.</w:t>
      </w:r>
    </w:p>
    <w:p w14:paraId="27239FB7" w14:textId="1BEC2760" w:rsidR="000D18B4" w:rsidRPr="00722249" w:rsidRDefault="00D314B5" w:rsidP="000D18B4">
      <w:pPr>
        <w:rPr>
          <w:b/>
        </w:rPr>
      </w:pPr>
      <w:r>
        <w:rPr>
          <w:b/>
        </w:rPr>
        <w:t>Figure</w:t>
      </w:r>
      <w:r w:rsidR="000D18B4">
        <w:rPr>
          <w:b/>
        </w:rPr>
        <w:t xml:space="preserve"> 3</w:t>
      </w:r>
      <w:r w:rsidR="000D18B4" w:rsidRPr="00722249">
        <w:rPr>
          <w:b/>
        </w:rPr>
        <w:t xml:space="preserve">:  The </w:t>
      </w:r>
      <w:r w:rsidR="00C445FC">
        <w:rPr>
          <w:b/>
        </w:rPr>
        <w:t>h</w:t>
      </w:r>
      <w:r w:rsidR="000D18B4" w:rsidRPr="00722249">
        <w:rPr>
          <w:b/>
        </w:rPr>
        <w:t xml:space="preserve">ousing </w:t>
      </w:r>
      <w:r w:rsidR="00C445FC">
        <w:rPr>
          <w:b/>
        </w:rPr>
        <w:t>c</w:t>
      </w:r>
      <w:r w:rsidR="000D18B4" w:rsidRPr="00722249">
        <w:rPr>
          <w:b/>
        </w:rPr>
        <w:t>ontinuum</w:t>
      </w:r>
      <w:r w:rsidR="000D18B4">
        <w:rPr>
          <w:rStyle w:val="FootnoteReference"/>
          <w:b/>
        </w:rPr>
        <w:footnoteReference w:id="55"/>
      </w:r>
    </w:p>
    <w:p w14:paraId="1CB3056D" w14:textId="77777777" w:rsidR="000D18B4" w:rsidRPr="00083AA4" w:rsidRDefault="000D18B4" w:rsidP="000D18B4">
      <w:r>
        <w:rPr>
          <w:noProof/>
          <w:lang w:eastAsia="en-AU"/>
        </w:rPr>
        <w:drawing>
          <wp:inline distT="0" distB="0" distL="0" distR="0" wp14:anchorId="297FAE5B" wp14:editId="22509993">
            <wp:extent cx="5886450" cy="1419225"/>
            <wp:effectExtent l="0" t="0" r="0" b="9525"/>
            <wp:docPr id="4" name="Picture 4" descr="C:\Users\Matt\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AppData\Local\Microsoft\Windows\INetCacheContent.Word\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1419225"/>
                    </a:xfrm>
                    <a:prstGeom prst="rect">
                      <a:avLst/>
                    </a:prstGeom>
                    <a:noFill/>
                    <a:ln>
                      <a:noFill/>
                    </a:ln>
                  </pic:spPr>
                </pic:pic>
              </a:graphicData>
            </a:graphic>
          </wp:inline>
        </w:drawing>
      </w:r>
    </w:p>
    <w:p w14:paraId="071C5BE2" w14:textId="77777777" w:rsidR="00245F3D" w:rsidRDefault="00245F3D" w:rsidP="000D18B4">
      <w:pPr>
        <w:rPr>
          <w:lang w:val="en-US"/>
        </w:rPr>
      </w:pPr>
      <w:bookmarkStart w:id="829" w:name="_Toc457242361"/>
      <w:bookmarkStart w:id="830" w:name="_Toc457242744"/>
      <w:bookmarkStart w:id="831" w:name="_Toc457243127"/>
      <w:bookmarkStart w:id="832" w:name="_Toc457243506"/>
      <w:bookmarkStart w:id="833" w:name="_Toc457243882"/>
      <w:bookmarkStart w:id="834" w:name="_Toc457244264"/>
      <w:bookmarkStart w:id="835" w:name="_Toc457244641"/>
      <w:bookmarkStart w:id="836" w:name="_Toc457245017"/>
      <w:bookmarkStart w:id="837" w:name="_Toc457245389"/>
      <w:bookmarkStart w:id="838" w:name="_Toc457245760"/>
      <w:bookmarkStart w:id="839" w:name="_Toc457246122"/>
      <w:bookmarkStart w:id="840" w:name="_Toc457246461"/>
      <w:bookmarkStart w:id="841" w:name="_Toc457288916"/>
      <w:bookmarkStart w:id="842" w:name="_Toc457290739"/>
      <w:bookmarkStart w:id="843" w:name="_Toc457399112"/>
      <w:bookmarkStart w:id="844" w:name="_Toc457458851"/>
      <w:bookmarkStart w:id="845" w:name="_Toc457468141"/>
      <w:bookmarkStart w:id="846" w:name="_Toc457483150"/>
      <w:bookmarkStart w:id="847" w:name="_Toc457483546"/>
      <w:bookmarkStart w:id="848" w:name="_Toc457506476"/>
      <w:bookmarkStart w:id="849" w:name="_Toc457512504"/>
      <w:bookmarkStart w:id="850" w:name="_Toc457242362"/>
      <w:bookmarkStart w:id="851" w:name="_Toc457242745"/>
      <w:bookmarkStart w:id="852" w:name="_Toc457243128"/>
      <w:bookmarkStart w:id="853" w:name="_Toc457243507"/>
      <w:bookmarkStart w:id="854" w:name="_Toc457243883"/>
      <w:bookmarkStart w:id="855" w:name="_Toc457244265"/>
      <w:bookmarkStart w:id="856" w:name="_Toc457244642"/>
      <w:bookmarkStart w:id="857" w:name="_Toc457245018"/>
      <w:bookmarkStart w:id="858" w:name="_Toc457245390"/>
      <w:bookmarkStart w:id="859" w:name="_Toc457245761"/>
      <w:bookmarkStart w:id="860" w:name="_Toc457246123"/>
      <w:bookmarkStart w:id="861" w:name="_Toc457246462"/>
      <w:bookmarkStart w:id="862" w:name="_Toc457288917"/>
      <w:bookmarkStart w:id="863" w:name="_Toc457290740"/>
      <w:bookmarkStart w:id="864" w:name="_Toc457399113"/>
      <w:bookmarkStart w:id="865" w:name="_Toc457458852"/>
      <w:bookmarkStart w:id="866" w:name="_Toc457468142"/>
      <w:bookmarkStart w:id="867" w:name="_Toc457483151"/>
      <w:bookmarkStart w:id="868" w:name="_Toc457483547"/>
      <w:bookmarkStart w:id="869" w:name="_Toc457506477"/>
      <w:bookmarkStart w:id="870" w:name="_Toc457512505"/>
      <w:bookmarkStart w:id="871" w:name="_Toc457242363"/>
      <w:bookmarkStart w:id="872" w:name="_Toc457242746"/>
      <w:bookmarkStart w:id="873" w:name="_Toc457243129"/>
      <w:bookmarkStart w:id="874" w:name="_Toc457243508"/>
      <w:bookmarkStart w:id="875" w:name="_Toc457243884"/>
      <w:bookmarkStart w:id="876" w:name="_Toc457244266"/>
      <w:bookmarkStart w:id="877" w:name="_Toc457244643"/>
      <w:bookmarkStart w:id="878" w:name="_Toc457245019"/>
      <w:bookmarkStart w:id="879" w:name="_Toc457245391"/>
      <w:bookmarkStart w:id="880" w:name="_Toc457245762"/>
      <w:bookmarkStart w:id="881" w:name="_Toc457246124"/>
      <w:bookmarkStart w:id="882" w:name="_Toc457246463"/>
      <w:bookmarkStart w:id="883" w:name="_Toc457288918"/>
      <w:bookmarkStart w:id="884" w:name="_Toc457290741"/>
      <w:bookmarkStart w:id="885" w:name="_Toc457399114"/>
      <w:bookmarkStart w:id="886" w:name="_Toc457458853"/>
      <w:bookmarkStart w:id="887" w:name="_Toc457468143"/>
      <w:bookmarkStart w:id="888" w:name="_Toc457483152"/>
      <w:bookmarkStart w:id="889" w:name="_Toc457483548"/>
      <w:bookmarkStart w:id="890" w:name="_Toc457506478"/>
      <w:bookmarkStart w:id="891" w:name="_Toc457512506"/>
      <w:bookmarkStart w:id="892" w:name="_Toc457242364"/>
      <w:bookmarkStart w:id="893" w:name="_Toc457242747"/>
      <w:bookmarkStart w:id="894" w:name="_Toc457243130"/>
      <w:bookmarkStart w:id="895" w:name="_Toc457243509"/>
      <w:bookmarkStart w:id="896" w:name="_Toc457243885"/>
      <w:bookmarkStart w:id="897" w:name="_Toc457244267"/>
      <w:bookmarkStart w:id="898" w:name="_Toc457244644"/>
      <w:bookmarkStart w:id="899" w:name="_Toc457245020"/>
      <w:bookmarkStart w:id="900" w:name="_Toc457245392"/>
      <w:bookmarkStart w:id="901" w:name="_Toc457245763"/>
      <w:bookmarkStart w:id="902" w:name="_Toc457246125"/>
      <w:bookmarkStart w:id="903" w:name="_Toc457246464"/>
      <w:bookmarkStart w:id="904" w:name="_Toc457288919"/>
      <w:bookmarkStart w:id="905" w:name="_Toc457290742"/>
      <w:bookmarkStart w:id="906" w:name="_Toc457399115"/>
      <w:bookmarkStart w:id="907" w:name="_Toc457458854"/>
      <w:bookmarkStart w:id="908" w:name="_Toc457468144"/>
      <w:bookmarkStart w:id="909" w:name="_Toc457483153"/>
      <w:bookmarkStart w:id="910" w:name="_Toc457483549"/>
      <w:bookmarkStart w:id="911" w:name="_Toc457506479"/>
      <w:bookmarkStart w:id="912" w:name="_Toc457512507"/>
      <w:bookmarkStart w:id="913" w:name="_Toc457242365"/>
      <w:bookmarkStart w:id="914" w:name="_Toc457242748"/>
      <w:bookmarkStart w:id="915" w:name="_Toc457243131"/>
      <w:bookmarkStart w:id="916" w:name="_Toc457243510"/>
      <w:bookmarkStart w:id="917" w:name="_Toc457243886"/>
      <w:bookmarkStart w:id="918" w:name="_Toc457244268"/>
      <w:bookmarkStart w:id="919" w:name="_Toc457244645"/>
      <w:bookmarkStart w:id="920" w:name="_Toc457245021"/>
      <w:bookmarkStart w:id="921" w:name="_Toc457245393"/>
      <w:bookmarkStart w:id="922" w:name="_Toc457245764"/>
      <w:bookmarkStart w:id="923" w:name="_Toc457246126"/>
      <w:bookmarkStart w:id="924" w:name="_Toc457246465"/>
      <w:bookmarkStart w:id="925" w:name="_Toc457288920"/>
      <w:bookmarkStart w:id="926" w:name="_Toc457290743"/>
      <w:bookmarkStart w:id="927" w:name="_Toc457399116"/>
      <w:bookmarkStart w:id="928" w:name="_Toc457458855"/>
      <w:bookmarkStart w:id="929" w:name="_Toc457468145"/>
      <w:bookmarkStart w:id="930" w:name="_Toc457483154"/>
      <w:bookmarkStart w:id="931" w:name="_Toc457483550"/>
      <w:bookmarkStart w:id="932" w:name="_Toc457506480"/>
      <w:bookmarkStart w:id="933" w:name="_Toc457512508"/>
      <w:bookmarkStart w:id="934" w:name="_Toc457242366"/>
      <w:bookmarkStart w:id="935" w:name="_Toc457242749"/>
      <w:bookmarkStart w:id="936" w:name="_Toc457243132"/>
      <w:bookmarkStart w:id="937" w:name="_Toc457243511"/>
      <w:bookmarkStart w:id="938" w:name="_Toc457243887"/>
      <w:bookmarkStart w:id="939" w:name="_Toc457244269"/>
      <w:bookmarkStart w:id="940" w:name="_Toc457244646"/>
      <w:bookmarkStart w:id="941" w:name="_Toc457245022"/>
      <w:bookmarkStart w:id="942" w:name="_Toc457245394"/>
      <w:bookmarkStart w:id="943" w:name="_Toc457245765"/>
      <w:bookmarkStart w:id="944" w:name="_Toc457246127"/>
      <w:bookmarkStart w:id="945" w:name="_Toc457246466"/>
      <w:bookmarkStart w:id="946" w:name="_Toc457288921"/>
      <w:bookmarkStart w:id="947" w:name="_Toc457290744"/>
      <w:bookmarkStart w:id="948" w:name="_Toc457399117"/>
      <w:bookmarkStart w:id="949" w:name="_Toc457458856"/>
      <w:bookmarkStart w:id="950" w:name="_Toc457468146"/>
      <w:bookmarkStart w:id="951" w:name="_Toc457483155"/>
      <w:bookmarkStart w:id="952" w:name="_Toc457483551"/>
      <w:bookmarkStart w:id="953" w:name="_Toc457506481"/>
      <w:bookmarkStart w:id="954" w:name="_Toc457512509"/>
      <w:bookmarkStart w:id="955" w:name="_Toc457242367"/>
      <w:bookmarkStart w:id="956" w:name="_Toc457242750"/>
      <w:bookmarkStart w:id="957" w:name="_Toc457243133"/>
      <w:bookmarkStart w:id="958" w:name="_Toc457243512"/>
      <w:bookmarkStart w:id="959" w:name="_Toc457243888"/>
      <w:bookmarkStart w:id="960" w:name="_Toc457244270"/>
      <w:bookmarkStart w:id="961" w:name="_Toc457244647"/>
      <w:bookmarkStart w:id="962" w:name="_Toc457245023"/>
      <w:bookmarkStart w:id="963" w:name="_Toc457245395"/>
      <w:bookmarkStart w:id="964" w:name="_Toc457245766"/>
      <w:bookmarkStart w:id="965" w:name="_Toc457246128"/>
      <w:bookmarkStart w:id="966" w:name="_Toc457246467"/>
      <w:bookmarkStart w:id="967" w:name="_Toc457288922"/>
      <w:bookmarkStart w:id="968" w:name="_Toc457290745"/>
      <w:bookmarkStart w:id="969" w:name="_Toc457399118"/>
      <w:bookmarkStart w:id="970" w:name="_Toc457458857"/>
      <w:bookmarkStart w:id="971" w:name="_Toc457468147"/>
      <w:bookmarkStart w:id="972" w:name="_Toc457483156"/>
      <w:bookmarkStart w:id="973" w:name="_Toc457483552"/>
      <w:bookmarkStart w:id="974" w:name="_Toc457506482"/>
      <w:bookmarkStart w:id="975" w:name="_Toc457512510"/>
      <w:bookmarkStart w:id="976" w:name="_Toc457242368"/>
      <w:bookmarkStart w:id="977" w:name="_Toc457242751"/>
      <w:bookmarkStart w:id="978" w:name="_Toc457243134"/>
      <w:bookmarkStart w:id="979" w:name="_Toc457243513"/>
      <w:bookmarkStart w:id="980" w:name="_Toc457243889"/>
      <w:bookmarkStart w:id="981" w:name="_Toc457244271"/>
      <w:bookmarkStart w:id="982" w:name="_Toc457244648"/>
      <w:bookmarkStart w:id="983" w:name="_Toc457245024"/>
      <w:bookmarkStart w:id="984" w:name="_Toc457245396"/>
      <w:bookmarkStart w:id="985" w:name="_Toc457245767"/>
      <w:bookmarkStart w:id="986" w:name="_Toc457246129"/>
      <w:bookmarkStart w:id="987" w:name="_Toc457246468"/>
      <w:bookmarkStart w:id="988" w:name="_Toc457288923"/>
      <w:bookmarkStart w:id="989" w:name="_Toc457290746"/>
      <w:bookmarkStart w:id="990" w:name="_Toc457399119"/>
      <w:bookmarkStart w:id="991" w:name="_Toc457458858"/>
      <w:bookmarkStart w:id="992" w:name="_Toc457468148"/>
      <w:bookmarkStart w:id="993" w:name="_Toc457483157"/>
      <w:bookmarkStart w:id="994" w:name="_Toc457483553"/>
      <w:bookmarkStart w:id="995" w:name="_Toc457506483"/>
      <w:bookmarkStart w:id="996" w:name="_Toc457512511"/>
      <w:bookmarkStart w:id="997" w:name="_Toc457242369"/>
      <w:bookmarkStart w:id="998" w:name="_Toc457242752"/>
      <w:bookmarkStart w:id="999" w:name="_Toc457243135"/>
      <w:bookmarkStart w:id="1000" w:name="_Toc457243514"/>
      <w:bookmarkStart w:id="1001" w:name="_Toc457243890"/>
      <w:bookmarkStart w:id="1002" w:name="_Toc457244272"/>
      <w:bookmarkStart w:id="1003" w:name="_Toc457244649"/>
      <w:bookmarkStart w:id="1004" w:name="_Toc457245025"/>
      <w:bookmarkStart w:id="1005" w:name="_Toc457245397"/>
      <w:bookmarkStart w:id="1006" w:name="_Toc457245768"/>
      <w:bookmarkStart w:id="1007" w:name="_Toc457246130"/>
      <w:bookmarkStart w:id="1008" w:name="_Toc457246469"/>
      <w:bookmarkStart w:id="1009" w:name="_Toc457288924"/>
      <w:bookmarkStart w:id="1010" w:name="_Toc457290747"/>
      <w:bookmarkStart w:id="1011" w:name="_Toc457399120"/>
      <w:bookmarkStart w:id="1012" w:name="_Toc457458859"/>
      <w:bookmarkStart w:id="1013" w:name="_Toc457468149"/>
      <w:bookmarkStart w:id="1014" w:name="_Toc457483158"/>
      <w:bookmarkStart w:id="1015" w:name="_Toc457483554"/>
      <w:bookmarkStart w:id="1016" w:name="_Toc457506484"/>
      <w:bookmarkStart w:id="1017" w:name="_Toc457512512"/>
      <w:bookmarkStart w:id="1018" w:name="_Toc457242370"/>
      <w:bookmarkStart w:id="1019" w:name="_Toc457242753"/>
      <w:bookmarkStart w:id="1020" w:name="_Toc457243136"/>
      <w:bookmarkStart w:id="1021" w:name="_Toc457243515"/>
      <w:bookmarkStart w:id="1022" w:name="_Toc457243891"/>
      <w:bookmarkStart w:id="1023" w:name="_Toc457244273"/>
      <w:bookmarkStart w:id="1024" w:name="_Toc457244650"/>
      <w:bookmarkStart w:id="1025" w:name="_Toc457245026"/>
      <w:bookmarkStart w:id="1026" w:name="_Toc457245398"/>
      <w:bookmarkStart w:id="1027" w:name="_Toc457245769"/>
      <w:bookmarkStart w:id="1028" w:name="_Toc457246131"/>
      <w:bookmarkStart w:id="1029" w:name="_Toc457246470"/>
      <w:bookmarkStart w:id="1030" w:name="_Toc457288925"/>
      <w:bookmarkStart w:id="1031" w:name="_Toc457290748"/>
      <w:bookmarkStart w:id="1032" w:name="_Toc457399121"/>
      <w:bookmarkStart w:id="1033" w:name="_Toc457458860"/>
      <w:bookmarkStart w:id="1034" w:name="_Toc457468150"/>
      <w:bookmarkStart w:id="1035" w:name="_Toc457483159"/>
      <w:bookmarkStart w:id="1036" w:name="_Toc457483555"/>
      <w:bookmarkStart w:id="1037" w:name="_Toc457506485"/>
      <w:bookmarkStart w:id="1038" w:name="_Toc457512513"/>
      <w:bookmarkStart w:id="1039" w:name="_Toc457242371"/>
      <w:bookmarkStart w:id="1040" w:name="_Toc457242754"/>
      <w:bookmarkStart w:id="1041" w:name="_Toc457243137"/>
      <w:bookmarkStart w:id="1042" w:name="_Toc457243516"/>
      <w:bookmarkStart w:id="1043" w:name="_Toc457243892"/>
      <w:bookmarkStart w:id="1044" w:name="_Toc457244274"/>
      <w:bookmarkStart w:id="1045" w:name="_Toc457244651"/>
      <w:bookmarkStart w:id="1046" w:name="_Toc457245027"/>
      <w:bookmarkStart w:id="1047" w:name="_Toc457245399"/>
      <w:bookmarkStart w:id="1048" w:name="_Toc457245770"/>
      <w:bookmarkStart w:id="1049" w:name="_Toc457246132"/>
      <w:bookmarkStart w:id="1050" w:name="_Toc457246471"/>
      <w:bookmarkStart w:id="1051" w:name="_Toc457288926"/>
      <w:bookmarkStart w:id="1052" w:name="_Toc457290749"/>
      <w:bookmarkStart w:id="1053" w:name="_Toc457399122"/>
      <w:bookmarkStart w:id="1054" w:name="_Toc457458861"/>
      <w:bookmarkStart w:id="1055" w:name="_Toc457468151"/>
      <w:bookmarkStart w:id="1056" w:name="_Toc457483160"/>
      <w:bookmarkStart w:id="1057" w:name="_Toc457483556"/>
      <w:bookmarkStart w:id="1058" w:name="_Toc457506486"/>
      <w:bookmarkStart w:id="1059" w:name="_Toc457512514"/>
      <w:bookmarkStart w:id="1060" w:name="_Toc457242372"/>
      <w:bookmarkStart w:id="1061" w:name="_Toc457242755"/>
      <w:bookmarkStart w:id="1062" w:name="_Toc457243138"/>
      <w:bookmarkStart w:id="1063" w:name="_Toc457243517"/>
      <w:bookmarkStart w:id="1064" w:name="_Toc457243893"/>
      <w:bookmarkStart w:id="1065" w:name="_Toc457244275"/>
      <w:bookmarkStart w:id="1066" w:name="_Toc457244652"/>
      <w:bookmarkStart w:id="1067" w:name="_Toc457245028"/>
      <w:bookmarkStart w:id="1068" w:name="_Toc457245400"/>
      <w:bookmarkStart w:id="1069" w:name="_Toc457245771"/>
      <w:bookmarkStart w:id="1070" w:name="_Toc457246133"/>
      <w:bookmarkStart w:id="1071" w:name="_Toc457246472"/>
      <w:bookmarkStart w:id="1072" w:name="_Toc457288927"/>
      <w:bookmarkStart w:id="1073" w:name="_Toc457290750"/>
      <w:bookmarkStart w:id="1074" w:name="_Toc457399123"/>
      <w:bookmarkStart w:id="1075" w:name="_Toc457458862"/>
      <w:bookmarkStart w:id="1076" w:name="_Toc457468152"/>
      <w:bookmarkStart w:id="1077" w:name="_Toc457483161"/>
      <w:bookmarkStart w:id="1078" w:name="_Toc457483557"/>
      <w:bookmarkStart w:id="1079" w:name="_Toc457506487"/>
      <w:bookmarkStart w:id="1080" w:name="_Toc457512515"/>
      <w:bookmarkStart w:id="1081" w:name="_Toc457242373"/>
      <w:bookmarkStart w:id="1082" w:name="_Toc457242756"/>
      <w:bookmarkStart w:id="1083" w:name="_Toc457243139"/>
      <w:bookmarkStart w:id="1084" w:name="_Toc457243518"/>
      <w:bookmarkStart w:id="1085" w:name="_Toc457243894"/>
      <w:bookmarkStart w:id="1086" w:name="_Toc457244276"/>
      <w:bookmarkStart w:id="1087" w:name="_Toc457244653"/>
      <w:bookmarkStart w:id="1088" w:name="_Toc457245029"/>
      <w:bookmarkStart w:id="1089" w:name="_Toc457245401"/>
      <w:bookmarkStart w:id="1090" w:name="_Toc457245772"/>
      <w:bookmarkStart w:id="1091" w:name="_Toc457246134"/>
      <w:bookmarkStart w:id="1092" w:name="_Toc457246473"/>
      <w:bookmarkStart w:id="1093" w:name="_Toc457288928"/>
      <w:bookmarkStart w:id="1094" w:name="_Toc457290751"/>
      <w:bookmarkStart w:id="1095" w:name="_Toc457399124"/>
      <w:bookmarkStart w:id="1096" w:name="_Toc457458863"/>
      <w:bookmarkStart w:id="1097" w:name="_Toc457468153"/>
      <w:bookmarkStart w:id="1098" w:name="_Toc457483162"/>
      <w:bookmarkStart w:id="1099" w:name="_Toc457483558"/>
      <w:bookmarkStart w:id="1100" w:name="_Toc457506488"/>
      <w:bookmarkStart w:id="1101" w:name="_Toc457512516"/>
      <w:bookmarkStart w:id="1102" w:name="_Toc457242374"/>
      <w:bookmarkStart w:id="1103" w:name="_Toc457242757"/>
      <w:bookmarkStart w:id="1104" w:name="_Toc457243140"/>
      <w:bookmarkStart w:id="1105" w:name="_Toc457243519"/>
      <w:bookmarkStart w:id="1106" w:name="_Toc457243895"/>
      <w:bookmarkStart w:id="1107" w:name="_Toc457244277"/>
      <w:bookmarkStart w:id="1108" w:name="_Toc457244654"/>
      <w:bookmarkStart w:id="1109" w:name="_Toc457245030"/>
      <w:bookmarkStart w:id="1110" w:name="_Toc457245402"/>
      <w:bookmarkStart w:id="1111" w:name="_Toc457245773"/>
      <w:bookmarkStart w:id="1112" w:name="_Toc457246135"/>
      <w:bookmarkStart w:id="1113" w:name="_Toc457246474"/>
      <w:bookmarkStart w:id="1114" w:name="_Toc457288929"/>
      <w:bookmarkStart w:id="1115" w:name="_Toc457290752"/>
      <w:bookmarkStart w:id="1116" w:name="_Toc457399125"/>
      <w:bookmarkStart w:id="1117" w:name="_Toc457458864"/>
      <w:bookmarkStart w:id="1118" w:name="_Toc457468154"/>
      <w:bookmarkStart w:id="1119" w:name="_Toc457483163"/>
      <w:bookmarkStart w:id="1120" w:name="_Toc457483559"/>
      <w:bookmarkStart w:id="1121" w:name="_Toc457506489"/>
      <w:bookmarkStart w:id="1122" w:name="_Toc457512517"/>
      <w:bookmarkStart w:id="1123" w:name="_Toc457242375"/>
      <w:bookmarkStart w:id="1124" w:name="_Toc457242758"/>
      <w:bookmarkStart w:id="1125" w:name="_Toc457243141"/>
      <w:bookmarkStart w:id="1126" w:name="_Toc457243520"/>
      <w:bookmarkStart w:id="1127" w:name="_Toc457243896"/>
      <w:bookmarkStart w:id="1128" w:name="_Toc457244278"/>
      <w:bookmarkStart w:id="1129" w:name="_Toc457244655"/>
      <w:bookmarkStart w:id="1130" w:name="_Toc457245031"/>
      <w:bookmarkStart w:id="1131" w:name="_Toc457245403"/>
      <w:bookmarkStart w:id="1132" w:name="_Toc457245774"/>
      <w:bookmarkStart w:id="1133" w:name="_Toc457246136"/>
      <w:bookmarkStart w:id="1134" w:name="_Toc457246475"/>
      <w:bookmarkStart w:id="1135" w:name="_Toc457288930"/>
      <w:bookmarkStart w:id="1136" w:name="_Toc457290753"/>
      <w:bookmarkStart w:id="1137" w:name="_Toc457399126"/>
      <w:bookmarkStart w:id="1138" w:name="_Toc457458865"/>
      <w:bookmarkStart w:id="1139" w:name="_Toc457468155"/>
      <w:bookmarkStart w:id="1140" w:name="_Toc457483164"/>
      <w:bookmarkStart w:id="1141" w:name="_Toc457483560"/>
      <w:bookmarkStart w:id="1142" w:name="_Toc457506490"/>
      <w:bookmarkStart w:id="1143" w:name="_Toc457512518"/>
      <w:bookmarkStart w:id="1144" w:name="_Toc457242376"/>
      <w:bookmarkStart w:id="1145" w:name="_Toc457242759"/>
      <w:bookmarkStart w:id="1146" w:name="_Toc457243142"/>
      <w:bookmarkStart w:id="1147" w:name="_Toc457243521"/>
      <w:bookmarkStart w:id="1148" w:name="_Toc457243897"/>
      <w:bookmarkStart w:id="1149" w:name="_Toc457244279"/>
      <w:bookmarkStart w:id="1150" w:name="_Toc457244656"/>
      <w:bookmarkStart w:id="1151" w:name="_Toc457245032"/>
      <w:bookmarkStart w:id="1152" w:name="_Toc457245404"/>
      <w:bookmarkStart w:id="1153" w:name="_Toc457245775"/>
      <w:bookmarkStart w:id="1154" w:name="_Toc457246137"/>
      <w:bookmarkStart w:id="1155" w:name="_Toc457246476"/>
      <w:bookmarkStart w:id="1156" w:name="_Toc457288931"/>
      <w:bookmarkStart w:id="1157" w:name="_Toc457290754"/>
      <w:bookmarkStart w:id="1158" w:name="_Toc457399127"/>
      <w:bookmarkStart w:id="1159" w:name="_Toc457458866"/>
      <w:bookmarkStart w:id="1160" w:name="_Toc457468156"/>
      <w:bookmarkStart w:id="1161" w:name="_Toc457483165"/>
      <w:bookmarkStart w:id="1162" w:name="_Toc457483561"/>
      <w:bookmarkStart w:id="1163" w:name="_Toc457506491"/>
      <w:bookmarkStart w:id="1164" w:name="_Toc457512519"/>
      <w:bookmarkStart w:id="1165" w:name="_Toc457242377"/>
      <w:bookmarkStart w:id="1166" w:name="_Toc457242760"/>
      <w:bookmarkStart w:id="1167" w:name="_Toc457243143"/>
      <w:bookmarkStart w:id="1168" w:name="_Toc457243522"/>
      <w:bookmarkStart w:id="1169" w:name="_Toc457243898"/>
      <w:bookmarkStart w:id="1170" w:name="_Toc457244280"/>
      <w:bookmarkStart w:id="1171" w:name="_Toc457244657"/>
      <w:bookmarkStart w:id="1172" w:name="_Toc457245033"/>
      <w:bookmarkStart w:id="1173" w:name="_Toc457245405"/>
      <w:bookmarkStart w:id="1174" w:name="_Toc457245776"/>
      <w:bookmarkStart w:id="1175" w:name="_Toc457246138"/>
      <w:bookmarkStart w:id="1176" w:name="_Toc457246477"/>
      <w:bookmarkStart w:id="1177" w:name="_Toc457288932"/>
      <w:bookmarkStart w:id="1178" w:name="_Toc457290755"/>
      <w:bookmarkStart w:id="1179" w:name="_Toc457399128"/>
      <w:bookmarkStart w:id="1180" w:name="_Toc457458867"/>
      <w:bookmarkStart w:id="1181" w:name="_Toc457468157"/>
      <w:bookmarkStart w:id="1182" w:name="_Toc457483166"/>
      <w:bookmarkStart w:id="1183" w:name="_Toc457483562"/>
      <w:bookmarkStart w:id="1184" w:name="_Toc457506492"/>
      <w:bookmarkStart w:id="1185" w:name="_Toc457512520"/>
      <w:bookmarkStart w:id="1186" w:name="_Toc457242378"/>
      <w:bookmarkStart w:id="1187" w:name="_Toc457242761"/>
      <w:bookmarkStart w:id="1188" w:name="_Toc457243144"/>
      <w:bookmarkStart w:id="1189" w:name="_Toc457243523"/>
      <w:bookmarkStart w:id="1190" w:name="_Toc457243899"/>
      <w:bookmarkStart w:id="1191" w:name="_Toc457244281"/>
      <w:bookmarkStart w:id="1192" w:name="_Toc457244658"/>
      <w:bookmarkStart w:id="1193" w:name="_Toc457245034"/>
      <w:bookmarkStart w:id="1194" w:name="_Toc457245406"/>
      <w:bookmarkStart w:id="1195" w:name="_Toc457245777"/>
      <w:bookmarkStart w:id="1196" w:name="_Toc457246139"/>
      <w:bookmarkStart w:id="1197" w:name="_Toc457246478"/>
      <w:bookmarkStart w:id="1198" w:name="_Toc457288933"/>
      <w:bookmarkStart w:id="1199" w:name="_Toc457290756"/>
      <w:bookmarkStart w:id="1200" w:name="_Toc457399129"/>
      <w:bookmarkStart w:id="1201" w:name="_Toc457458868"/>
      <w:bookmarkStart w:id="1202" w:name="_Toc457468158"/>
      <w:bookmarkStart w:id="1203" w:name="_Toc457483167"/>
      <w:bookmarkStart w:id="1204" w:name="_Toc457483563"/>
      <w:bookmarkStart w:id="1205" w:name="_Toc457506493"/>
      <w:bookmarkStart w:id="1206" w:name="_Toc457512521"/>
      <w:bookmarkStart w:id="1207" w:name="_Toc457242379"/>
      <w:bookmarkStart w:id="1208" w:name="_Toc457242762"/>
      <w:bookmarkStart w:id="1209" w:name="_Toc457243145"/>
      <w:bookmarkStart w:id="1210" w:name="_Toc457243524"/>
      <w:bookmarkStart w:id="1211" w:name="_Toc457243900"/>
      <w:bookmarkStart w:id="1212" w:name="_Toc457244282"/>
      <w:bookmarkStart w:id="1213" w:name="_Toc457244659"/>
      <w:bookmarkStart w:id="1214" w:name="_Toc457245035"/>
      <w:bookmarkStart w:id="1215" w:name="_Toc457245407"/>
      <w:bookmarkStart w:id="1216" w:name="_Toc457245778"/>
      <w:bookmarkStart w:id="1217" w:name="_Toc457246140"/>
      <w:bookmarkStart w:id="1218" w:name="_Toc457246479"/>
      <w:bookmarkStart w:id="1219" w:name="_Toc457288934"/>
      <w:bookmarkStart w:id="1220" w:name="_Toc457290757"/>
      <w:bookmarkStart w:id="1221" w:name="_Toc457399130"/>
      <w:bookmarkStart w:id="1222" w:name="_Toc457458869"/>
      <w:bookmarkStart w:id="1223" w:name="_Toc457468159"/>
      <w:bookmarkStart w:id="1224" w:name="_Toc457483168"/>
      <w:bookmarkStart w:id="1225" w:name="_Toc457483564"/>
      <w:bookmarkStart w:id="1226" w:name="_Toc457506494"/>
      <w:bookmarkStart w:id="1227" w:name="_Toc457512522"/>
      <w:bookmarkStart w:id="1228" w:name="_Toc457242380"/>
      <w:bookmarkStart w:id="1229" w:name="_Toc457242763"/>
      <w:bookmarkStart w:id="1230" w:name="_Toc457243146"/>
      <w:bookmarkStart w:id="1231" w:name="_Toc457243525"/>
      <w:bookmarkStart w:id="1232" w:name="_Toc457243901"/>
      <w:bookmarkStart w:id="1233" w:name="_Toc457244283"/>
      <w:bookmarkStart w:id="1234" w:name="_Toc457244660"/>
      <w:bookmarkStart w:id="1235" w:name="_Toc457245036"/>
      <w:bookmarkStart w:id="1236" w:name="_Toc457245408"/>
      <w:bookmarkStart w:id="1237" w:name="_Toc457245779"/>
      <w:bookmarkStart w:id="1238" w:name="_Toc457246141"/>
      <w:bookmarkStart w:id="1239" w:name="_Toc457246480"/>
      <w:bookmarkStart w:id="1240" w:name="_Toc457288935"/>
      <w:bookmarkStart w:id="1241" w:name="_Toc457290758"/>
      <w:bookmarkStart w:id="1242" w:name="_Toc457399131"/>
      <w:bookmarkStart w:id="1243" w:name="_Toc457458870"/>
      <w:bookmarkStart w:id="1244" w:name="_Toc457468160"/>
      <w:bookmarkStart w:id="1245" w:name="_Toc457483169"/>
      <w:bookmarkStart w:id="1246" w:name="_Toc457483565"/>
      <w:bookmarkStart w:id="1247" w:name="_Toc457506495"/>
      <w:bookmarkStart w:id="1248" w:name="_Toc457512523"/>
      <w:bookmarkStart w:id="1249" w:name="_Toc457242381"/>
      <w:bookmarkStart w:id="1250" w:name="_Toc457242764"/>
      <w:bookmarkStart w:id="1251" w:name="_Toc457243147"/>
      <w:bookmarkStart w:id="1252" w:name="_Toc457243526"/>
      <w:bookmarkStart w:id="1253" w:name="_Toc457243902"/>
      <w:bookmarkStart w:id="1254" w:name="_Toc457244284"/>
      <w:bookmarkStart w:id="1255" w:name="_Toc457244661"/>
      <w:bookmarkStart w:id="1256" w:name="_Toc457245037"/>
      <w:bookmarkStart w:id="1257" w:name="_Toc457245409"/>
      <w:bookmarkStart w:id="1258" w:name="_Toc457245780"/>
      <w:bookmarkStart w:id="1259" w:name="_Toc457246142"/>
      <w:bookmarkStart w:id="1260" w:name="_Toc457246481"/>
      <w:bookmarkStart w:id="1261" w:name="_Toc457288936"/>
      <w:bookmarkStart w:id="1262" w:name="_Toc457290759"/>
      <w:bookmarkStart w:id="1263" w:name="_Toc457399132"/>
      <w:bookmarkStart w:id="1264" w:name="_Toc457458871"/>
      <w:bookmarkStart w:id="1265" w:name="_Toc457468161"/>
      <w:bookmarkStart w:id="1266" w:name="_Toc457483170"/>
      <w:bookmarkStart w:id="1267" w:name="_Toc457483566"/>
      <w:bookmarkStart w:id="1268" w:name="_Toc457506496"/>
      <w:bookmarkStart w:id="1269" w:name="_Toc457512524"/>
      <w:bookmarkStart w:id="1270" w:name="_Toc457242382"/>
      <w:bookmarkStart w:id="1271" w:name="_Toc457242765"/>
      <w:bookmarkStart w:id="1272" w:name="_Toc457243148"/>
      <w:bookmarkStart w:id="1273" w:name="_Toc457243527"/>
      <w:bookmarkStart w:id="1274" w:name="_Toc457243903"/>
      <w:bookmarkStart w:id="1275" w:name="_Toc457244285"/>
      <w:bookmarkStart w:id="1276" w:name="_Toc457244662"/>
      <w:bookmarkStart w:id="1277" w:name="_Toc457245038"/>
      <w:bookmarkStart w:id="1278" w:name="_Toc457245410"/>
      <w:bookmarkStart w:id="1279" w:name="_Toc457245781"/>
      <w:bookmarkStart w:id="1280" w:name="_Toc457246143"/>
      <w:bookmarkStart w:id="1281" w:name="_Toc457246482"/>
      <w:bookmarkStart w:id="1282" w:name="_Toc457288937"/>
      <w:bookmarkStart w:id="1283" w:name="_Toc457290760"/>
      <w:bookmarkStart w:id="1284" w:name="_Toc457399133"/>
      <w:bookmarkStart w:id="1285" w:name="_Toc457458872"/>
      <w:bookmarkStart w:id="1286" w:name="_Toc457468162"/>
      <w:bookmarkStart w:id="1287" w:name="_Toc457483171"/>
      <w:bookmarkStart w:id="1288" w:name="_Toc457483567"/>
      <w:bookmarkStart w:id="1289" w:name="_Toc457506497"/>
      <w:bookmarkStart w:id="1290" w:name="_Toc457512525"/>
      <w:bookmarkStart w:id="1291" w:name="_Toc457242383"/>
      <w:bookmarkStart w:id="1292" w:name="_Toc457242766"/>
      <w:bookmarkStart w:id="1293" w:name="_Toc457243149"/>
      <w:bookmarkStart w:id="1294" w:name="_Toc457243528"/>
      <w:bookmarkStart w:id="1295" w:name="_Toc457243904"/>
      <w:bookmarkStart w:id="1296" w:name="_Toc457244286"/>
      <w:bookmarkStart w:id="1297" w:name="_Toc457244663"/>
      <w:bookmarkStart w:id="1298" w:name="_Toc457245039"/>
      <w:bookmarkStart w:id="1299" w:name="_Toc457245411"/>
      <w:bookmarkStart w:id="1300" w:name="_Toc457245782"/>
      <w:bookmarkStart w:id="1301" w:name="_Toc457246144"/>
      <w:bookmarkStart w:id="1302" w:name="_Toc457246483"/>
      <w:bookmarkStart w:id="1303" w:name="_Toc457288938"/>
      <w:bookmarkStart w:id="1304" w:name="_Toc457290761"/>
      <w:bookmarkStart w:id="1305" w:name="_Toc457399134"/>
      <w:bookmarkStart w:id="1306" w:name="_Toc457458873"/>
      <w:bookmarkStart w:id="1307" w:name="_Toc457468163"/>
      <w:bookmarkStart w:id="1308" w:name="_Toc457483172"/>
      <w:bookmarkStart w:id="1309" w:name="_Toc457483568"/>
      <w:bookmarkStart w:id="1310" w:name="_Toc457506498"/>
      <w:bookmarkStart w:id="1311" w:name="_Toc457512526"/>
      <w:bookmarkStart w:id="1312" w:name="_Toc457242384"/>
      <w:bookmarkStart w:id="1313" w:name="_Toc457242767"/>
      <w:bookmarkStart w:id="1314" w:name="_Toc457243150"/>
      <w:bookmarkStart w:id="1315" w:name="_Toc457243529"/>
      <w:bookmarkStart w:id="1316" w:name="_Toc457243905"/>
      <w:bookmarkStart w:id="1317" w:name="_Toc457244287"/>
      <w:bookmarkStart w:id="1318" w:name="_Toc457244664"/>
      <w:bookmarkStart w:id="1319" w:name="_Toc457245040"/>
      <w:bookmarkStart w:id="1320" w:name="_Toc457245412"/>
      <w:bookmarkStart w:id="1321" w:name="_Toc457245783"/>
      <w:bookmarkStart w:id="1322" w:name="_Toc457246145"/>
      <w:bookmarkStart w:id="1323" w:name="_Toc457246484"/>
      <w:bookmarkStart w:id="1324" w:name="_Toc457288939"/>
      <w:bookmarkStart w:id="1325" w:name="_Toc457290762"/>
      <w:bookmarkStart w:id="1326" w:name="_Toc457399135"/>
      <w:bookmarkStart w:id="1327" w:name="_Toc457458874"/>
      <w:bookmarkStart w:id="1328" w:name="_Toc457468164"/>
      <w:bookmarkStart w:id="1329" w:name="_Toc457483173"/>
      <w:bookmarkStart w:id="1330" w:name="_Toc457483569"/>
      <w:bookmarkStart w:id="1331" w:name="_Toc457506499"/>
      <w:bookmarkStart w:id="1332" w:name="_Toc457512527"/>
      <w:bookmarkStart w:id="1333" w:name="_Toc457242385"/>
      <w:bookmarkStart w:id="1334" w:name="_Toc457242768"/>
      <w:bookmarkStart w:id="1335" w:name="_Toc457243151"/>
      <w:bookmarkStart w:id="1336" w:name="_Toc457243530"/>
      <w:bookmarkStart w:id="1337" w:name="_Toc457243906"/>
      <w:bookmarkStart w:id="1338" w:name="_Toc457244288"/>
      <w:bookmarkStart w:id="1339" w:name="_Toc457244665"/>
      <w:bookmarkStart w:id="1340" w:name="_Toc457245041"/>
      <w:bookmarkStart w:id="1341" w:name="_Toc457245413"/>
      <w:bookmarkStart w:id="1342" w:name="_Toc457245784"/>
      <w:bookmarkStart w:id="1343" w:name="_Toc457246146"/>
      <w:bookmarkStart w:id="1344" w:name="_Toc457246485"/>
      <w:bookmarkStart w:id="1345" w:name="_Toc457288940"/>
      <w:bookmarkStart w:id="1346" w:name="_Toc457290763"/>
      <w:bookmarkStart w:id="1347" w:name="_Toc457399136"/>
      <w:bookmarkStart w:id="1348" w:name="_Toc457458875"/>
      <w:bookmarkStart w:id="1349" w:name="_Toc457468165"/>
      <w:bookmarkStart w:id="1350" w:name="_Toc457483174"/>
      <w:bookmarkStart w:id="1351" w:name="_Toc457483570"/>
      <w:bookmarkStart w:id="1352" w:name="_Toc457506500"/>
      <w:bookmarkStart w:id="1353" w:name="_Toc457512528"/>
      <w:bookmarkStart w:id="1354" w:name="_Toc457242386"/>
      <w:bookmarkStart w:id="1355" w:name="_Toc457242769"/>
      <w:bookmarkStart w:id="1356" w:name="_Toc457243152"/>
      <w:bookmarkStart w:id="1357" w:name="_Toc457243531"/>
      <w:bookmarkStart w:id="1358" w:name="_Toc457243907"/>
      <w:bookmarkStart w:id="1359" w:name="_Toc457244289"/>
      <w:bookmarkStart w:id="1360" w:name="_Toc457244666"/>
      <w:bookmarkStart w:id="1361" w:name="_Toc457245042"/>
      <w:bookmarkStart w:id="1362" w:name="_Toc457245414"/>
      <w:bookmarkStart w:id="1363" w:name="_Toc457245785"/>
      <w:bookmarkStart w:id="1364" w:name="_Toc457246147"/>
      <w:bookmarkStart w:id="1365" w:name="_Toc457246486"/>
      <w:bookmarkStart w:id="1366" w:name="_Toc457288941"/>
      <w:bookmarkStart w:id="1367" w:name="_Toc457290764"/>
      <w:bookmarkStart w:id="1368" w:name="_Toc457399137"/>
      <w:bookmarkStart w:id="1369" w:name="_Toc457458876"/>
      <w:bookmarkStart w:id="1370" w:name="_Toc457468166"/>
      <w:bookmarkStart w:id="1371" w:name="_Toc457483175"/>
      <w:bookmarkStart w:id="1372" w:name="_Toc457483571"/>
      <w:bookmarkStart w:id="1373" w:name="_Toc457506501"/>
      <w:bookmarkStart w:id="1374" w:name="_Toc457512529"/>
      <w:bookmarkStart w:id="1375" w:name="_Toc457242387"/>
      <w:bookmarkStart w:id="1376" w:name="_Toc457242770"/>
      <w:bookmarkStart w:id="1377" w:name="_Toc457243153"/>
      <w:bookmarkStart w:id="1378" w:name="_Toc457243532"/>
      <w:bookmarkStart w:id="1379" w:name="_Toc457243908"/>
      <w:bookmarkStart w:id="1380" w:name="_Toc457244290"/>
      <w:bookmarkStart w:id="1381" w:name="_Toc457244667"/>
      <w:bookmarkStart w:id="1382" w:name="_Toc457245043"/>
      <w:bookmarkStart w:id="1383" w:name="_Toc457245415"/>
      <w:bookmarkStart w:id="1384" w:name="_Toc457245786"/>
      <w:bookmarkStart w:id="1385" w:name="_Toc457246148"/>
      <w:bookmarkStart w:id="1386" w:name="_Toc457246487"/>
      <w:bookmarkStart w:id="1387" w:name="_Toc457288942"/>
      <w:bookmarkStart w:id="1388" w:name="_Toc457290765"/>
      <w:bookmarkStart w:id="1389" w:name="_Toc457399138"/>
      <w:bookmarkStart w:id="1390" w:name="_Toc457458877"/>
      <w:bookmarkStart w:id="1391" w:name="_Toc457468167"/>
      <w:bookmarkStart w:id="1392" w:name="_Toc457483176"/>
      <w:bookmarkStart w:id="1393" w:name="_Toc457483572"/>
      <w:bookmarkStart w:id="1394" w:name="_Toc457506502"/>
      <w:bookmarkStart w:id="1395" w:name="_Toc457512530"/>
      <w:bookmarkStart w:id="1396" w:name="_Toc457242388"/>
      <w:bookmarkStart w:id="1397" w:name="_Toc457242771"/>
      <w:bookmarkStart w:id="1398" w:name="_Toc457243154"/>
      <w:bookmarkStart w:id="1399" w:name="_Toc457243533"/>
      <w:bookmarkStart w:id="1400" w:name="_Toc457243909"/>
      <w:bookmarkStart w:id="1401" w:name="_Toc457244291"/>
      <w:bookmarkStart w:id="1402" w:name="_Toc457244668"/>
      <w:bookmarkStart w:id="1403" w:name="_Toc457245044"/>
      <w:bookmarkStart w:id="1404" w:name="_Toc457245416"/>
      <w:bookmarkStart w:id="1405" w:name="_Toc457245787"/>
      <w:bookmarkStart w:id="1406" w:name="_Toc457246149"/>
      <w:bookmarkStart w:id="1407" w:name="_Toc457246488"/>
      <w:bookmarkStart w:id="1408" w:name="_Toc457288943"/>
      <w:bookmarkStart w:id="1409" w:name="_Toc457290766"/>
      <w:bookmarkStart w:id="1410" w:name="_Toc457399139"/>
      <w:bookmarkStart w:id="1411" w:name="_Toc457458878"/>
      <w:bookmarkStart w:id="1412" w:name="_Toc457468168"/>
      <w:bookmarkStart w:id="1413" w:name="_Toc457483177"/>
      <w:bookmarkStart w:id="1414" w:name="_Toc457483573"/>
      <w:bookmarkStart w:id="1415" w:name="_Toc457506503"/>
      <w:bookmarkStart w:id="1416" w:name="_Toc457512531"/>
      <w:bookmarkStart w:id="1417" w:name="_Toc457242389"/>
      <w:bookmarkStart w:id="1418" w:name="_Toc457242772"/>
      <w:bookmarkStart w:id="1419" w:name="_Toc457243155"/>
      <w:bookmarkStart w:id="1420" w:name="_Toc457243534"/>
      <w:bookmarkStart w:id="1421" w:name="_Toc457243910"/>
      <w:bookmarkStart w:id="1422" w:name="_Toc457244292"/>
      <w:bookmarkStart w:id="1423" w:name="_Toc457244669"/>
      <w:bookmarkStart w:id="1424" w:name="_Toc457245045"/>
      <w:bookmarkStart w:id="1425" w:name="_Toc457245417"/>
      <w:bookmarkStart w:id="1426" w:name="_Toc457245788"/>
      <w:bookmarkStart w:id="1427" w:name="_Toc457246150"/>
      <w:bookmarkStart w:id="1428" w:name="_Toc457246489"/>
      <w:bookmarkStart w:id="1429" w:name="_Toc457288944"/>
      <w:bookmarkStart w:id="1430" w:name="_Toc457290767"/>
      <w:bookmarkStart w:id="1431" w:name="_Toc457399140"/>
      <w:bookmarkStart w:id="1432" w:name="_Toc457458879"/>
      <w:bookmarkStart w:id="1433" w:name="_Toc457468169"/>
      <w:bookmarkStart w:id="1434" w:name="_Toc457483178"/>
      <w:bookmarkStart w:id="1435" w:name="_Toc457483574"/>
      <w:bookmarkStart w:id="1436" w:name="_Toc457506504"/>
      <w:bookmarkStart w:id="1437" w:name="_Toc457512532"/>
      <w:bookmarkStart w:id="1438" w:name="_Toc457242390"/>
      <w:bookmarkStart w:id="1439" w:name="_Toc457242773"/>
      <w:bookmarkStart w:id="1440" w:name="_Toc457243156"/>
      <w:bookmarkStart w:id="1441" w:name="_Toc457243535"/>
      <w:bookmarkStart w:id="1442" w:name="_Toc457243911"/>
      <w:bookmarkStart w:id="1443" w:name="_Toc457244293"/>
      <w:bookmarkStart w:id="1444" w:name="_Toc457244670"/>
      <w:bookmarkStart w:id="1445" w:name="_Toc457245046"/>
      <w:bookmarkStart w:id="1446" w:name="_Toc457245418"/>
      <w:bookmarkStart w:id="1447" w:name="_Toc457245789"/>
      <w:bookmarkStart w:id="1448" w:name="_Toc457246151"/>
      <w:bookmarkStart w:id="1449" w:name="_Toc457246490"/>
      <w:bookmarkStart w:id="1450" w:name="_Toc457288945"/>
      <w:bookmarkStart w:id="1451" w:name="_Toc457290768"/>
      <w:bookmarkStart w:id="1452" w:name="_Toc457399141"/>
      <w:bookmarkStart w:id="1453" w:name="_Toc457458880"/>
      <w:bookmarkStart w:id="1454" w:name="_Toc457468170"/>
      <w:bookmarkStart w:id="1455" w:name="_Toc457483179"/>
      <w:bookmarkStart w:id="1456" w:name="_Toc457483575"/>
      <w:bookmarkStart w:id="1457" w:name="_Toc457506505"/>
      <w:bookmarkStart w:id="1458" w:name="_Toc457512533"/>
      <w:bookmarkStart w:id="1459" w:name="_Toc457242391"/>
      <w:bookmarkStart w:id="1460" w:name="_Toc457242774"/>
      <w:bookmarkStart w:id="1461" w:name="_Toc457243157"/>
      <w:bookmarkStart w:id="1462" w:name="_Toc457243536"/>
      <w:bookmarkStart w:id="1463" w:name="_Toc457243912"/>
      <w:bookmarkStart w:id="1464" w:name="_Toc457244294"/>
      <w:bookmarkStart w:id="1465" w:name="_Toc457244671"/>
      <w:bookmarkStart w:id="1466" w:name="_Toc457245047"/>
      <w:bookmarkStart w:id="1467" w:name="_Toc457245419"/>
      <w:bookmarkStart w:id="1468" w:name="_Toc457245790"/>
      <w:bookmarkStart w:id="1469" w:name="_Toc457246152"/>
      <w:bookmarkStart w:id="1470" w:name="_Toc457246491"/>
      <w:bookmarkStart w:id="1471" w:name="_Toc457288946"/>
      <w:bookmarkStart w:id="1472" w:name="_Toc457290769"/>
      <w:bookmarkStart w:id="1473" w:name="_Toc457399142"/>
      <w:bookmarkStart w:id="1474" w:name="_Toc457458881"/>
      <w:bookmarkStart w:id="1475" w:name="_Toc457468171"/>
      <w:bookmarkStart w:id="1476" w:name="_Toc457483180"/>
      <w:bookmarkStart w:id="1477" w:name="_Toc457483576"/>
      <w:bookmarkStart w:id="1478" w:name="_Toc457506506"/>
      <w:bookmarkStart w:id="1479" w:name="_Toc457512534"/>
      <w:bookmarkStart w:id="1480" w:name="_Toc457242392"/>
      <w:bookmarkStart w:id="1481" w:name="_Toc457242775"/>
      <w:bookmarkStart w:id="1482" w:name="_Toc457243158"/>
      <w:bookmarkStart w:id="1483" w:name="_Toc457243537"/>
      <w:bookmarkStart w:id="1484" w:name="_Toc457243913"/>
      <w:bookmarkStart w:id="1485" w:name="_Toc457244295"/>
      <w:bookmarkStart w:id="1486" w:name="_Toc457244672"/>
      <w:bookmarkStart w:id="1487" w:name="_Toc457245048"/>
      <w:bookmarkStart w:id="1488" w:name="_Toc457245420"/>
      <w:bookmarkStart w:id="1489" w:name="_Toc457245791"/>
      <w:bookmarkStart w:id="1490" w:name="_Toc457246153"/>
      <w:bookmarkStart w:id="1491" w:name="_Toc457246492"/>
      <w:bookmarkStart w:id="1492" w:name="_Toc457288947"/>
      <w:bookmarkStart w:id="1493" w:name="_Toc457290770"/>
      <w:bookmarkStart w:id="1494" w:name="_Toc457399143"/>
      <w:bookmarkStart w:id="1495" w:name="_Toc457458882"/>
      <w:bookmarkStart w:id="1496" w:name="_Toc457468172"/>
      <w:bookmarkStart w:id="1497" w:name="_Toc457483181"/>
      <w:bookmarkStart w:id="1498" w:name="_Toc457483577"/>
      <w:bookmarkStart w:id="1499" w:name="_Toc457506507"/>
      <w:bookmarkStart w:id="1500" w:name="_Toc457512535"/>
      <w:bookmarkStart w:id="1501" w:name="_Toc457242393"/>
      <w:bookmarkStart w:id="1502" w:name="_Toc457242776"/>
      <w:bookmarkStart w:id="1503" w:name="_Toc457243159"/>
      <w:bookmarkStart w:id="1504" w:name="_Toc457243538"/>
      <w:bookmarkStart w:id="1505" w:name="_Toc457243914"/>
      <w:bookmarkStart w:id="1506" w:name="_Toc457244296"/>
      <w:bookmarkStart w:id="1507" w:name="_Toc457244673"/>
      <w:bookmarkStart w:id="1508" w:name="_Toc457245049"/>
      <w:bookmarkStart w:id="1509" w:name="_Toc457245421"/>
      <w:bookmarkStart w:id="1510" w:name="_Toc457245792"/>
      <w:bookmarkStart w:id="1511" w:name="_Toc457246154"/>
      <w:bookmarkStart w:id="1512" w:name="_Toc457246493"/>
      <w:bookmarkStart w:id="1513" w:name="_Toc457288948"/>
      <w:bookmarkStart w:id="1514" w:name="_Toc457290771"/>
      <w:bookmarkStart w:id="1515" w:name="_Toc457399144"/>
      <w:bookmarkStart w:id="1516" w:name="_Toc457458883"/>
      <w:bookmarkStart w:id="1517" w:name="_Toc457468173"/>
      <w:bookmarkStart w:id="1518" w:name="_Toc457483182"/>
      <w:bookmarkStart w:id="1519" w:name="_Toc457483578"/>
      <w:bookmarkStart w:id="1520" w:name="_Toc457506508"/>
      <w:bookmarkStart w:id="1521" w:name="_Toc457512536"/>
      <w:bookmarkStart w:id="1522" w:name="_Toc457242394"/>
      <w:bookmarkStart w:id="1523" w:name="_Toc457242777"/>
      <w:bookmarkStart w:id="1524" w:name="_Toc457243160"/>
      <w:bookmarkStart w:id="1525" w:name="_Toc457243539"/>
      <w:bookmarkStart w:id="1526" w:name="_Toc457243915"/>
      <w:bookmarkStart w:id="1527" w:name="_Toc457244297"/>
      <w:bookmarkStart w:id="1528" w:name="_Toc457244674"/>
      <w:bookmarkStart w:id="1529" w:name="_Toc457245050"/>
      <w:bookmarkStart w:id="1530" w:name="_Toc457245422"/>
      <w:bookmarkStart w:id="1531" w:name="_Toc457245793"/>
      <w:bookmarkStart w:id="1532" w:name="_Toc457246155"/>
      <w:bookmarkStart w:id="1533" w:name="_Toc457246494"/>
      <w:bookmarkStart w:id="1534" w:name="_Toc457288949"/>
      <w:bookmarkStart w:id="1535" w:name="_Toc457290772"/>
      <w:bookmarkStart w:id="1536" w:name="_Toc457399145"/>
      <w:bookmarkStart w:id="1537" w:name="_Toc457458884"/>
      <w:bookmarkStart w:id="1538" w:name="_Toc457468174"/>
      <w:bookmarkStart w:id="1539" w:name="_Toc457483183"/>
      <w:bookmarkStart w:id="1540" w:name="_Toc457483579"/>
      <w:bookmarkStart w:id="1541" w:name="_Toc457506509"/>
      <w:bookmarkStart w:id="1542" w:name="_Toc457512537"/>
      <w:bookmarkStart w:id="1543" w:name="_Toc457242398"/>
      <w:bookmarkStart w:id="1544" w:name="_Toc457242781"/>
      <w:bookmarkStart w:id="1545" w:name="_Toc457243164"/>
      <w:bookmarkStart w:id="1546" w:name="_Toc457243543"/>
      <w:bookmarkStart w:id="1547" w:name="_Toc457243919"/>
      <w:bookmarkStart w:id="1548" w:name="_Toc457244301"/>
      <w:bookmarkStart w:id="1549" w:name="_Toc457244678"/>
      <w:bookmarkStart w:id="1550" w:name="_Toc457245054"/>
      <w:bookmarkStart w:id="1551" w:name="_Toc457245426"/>
      <w:bookmarkStart w:id="1552" w:name="_Toc457245797"/>
      <w:bookmarkStart w:id="1553" w:name="_Toc457246159"/>
      <w:bookmarkStart w:id="1554" w:name="_Toc457246498"/>
      <w:bookmarkStart w:id="1555" w:name="_Toc457288953"/>
      <w:bookmarkStart w:id="1556" w:name="_Toc457290776"/>
      <w:bookmarkStart w:id="1557" w:name="_Toc457399149"/>
      <w:bookmarkStart w:id="1558" w:name="_Toc457458888"/>
      <w:bookmarkStart w:id="1559" w:name="_Toc457468178"/>
      <w:bookmarkStart w:id="1560" w:name="_Toc457483187"/>
      <w:bookmarkStart w:id="1561" w:name="_Toc457483583"/>
      <w:bookmarkStart w:id="1562" w:name="_Toc457506513"/>
      <w:bookmarkStart w:id="1563" w:name="_Toc457512541"/>
      <w:bookmarkStart w:id="1564" w:name="_Toc457242399"/>
      <w:bookmarkStart w:id="1565" w:name="_Toc457242782"/>
      <w:bookmarkStart w:id="1566" w:name="_Toc457243165"/>
      <w:bookmarkStart w:id="1567" w:name="_Toc457243544"/>
      <w:bookmarkStart w:id="1568" w:name="_Toc457243920"/>
      <w:bookmarkStart w:id="1569" w:name="_Toc457244302"/>
      <w:bookmarkStart w:id="1570" w:name="_Toc457244679"/>
      <w:bookmarkStart w:id="1571" w:name="_Toc457245055"/>
      <w:bookmarkStart w:id="1572" w:name="_Toc457245427"/>
      <w:bookmarkStart w:id="1573" w:name="_Toc457245798"/>
      <w:bookmarkStart w:id="1574" w:name="_Toc457246160"/>
      <w:bookmarkStart w:id="1575" w:name="_Toc457246499"/>
      <w:bookmarkStart w:id="1576" w:name="_Toc457288954"/>
      <w:bookmarkStart w:id="1577" w:name="_Toc457290777"/>
      <w:bookmarkStart w:id="1578" w:name="_Toc457399150"/>
      <w:bookmarkStart w:id="1579" w:name="_Toc457458889"/>
      <w:bookmarkStart w:id="1580" w:name="_Toc457468179"/>
      <w:bookmarkStart w:id="1581" w:name="_Toc457483188"/>
      <w:bookmarkStart w:id="1582" w:name="_Toc457483584"/>
      <w:bookmarkStart w:id="1583" w:name="_Toc457506514"/>
      <w:bookmarkStart w:id="1584" w:name="_Toc457512542"/>
      <w:bookmarkStart w:id="1585" w:name="_Toc457242403"/>
      <w:bookmarkStart w:id="1586" w:name="_Toc457242786"/>
      <w:bookmarkStart w:id="1587" w:name="_Toc457243169"/>
      <w:bookmarkStart w:id="1588" w:name="_Toc457243548"/>
      <w:bookmarkStart w:id="1589" w:name="_Toc457243924"/>
      <w:bookmarkStart w:id="1590" w:name="_Toc457244306"/>
      <w:bookmarkStart w:id="1591" w:name="_Toc457244683"/>
      <w:bookmarkStart w:id="1592" w:name="_Toc457245059"/>
      <w:bookmarkStart w:id="1593" w:name="_Toc457245431"/>
      <w:bookmarkStart w:id="1594" w:name="_Toc457245802"/>
      <w:bookmarkStart w:id="1595" w:name="_Toc457246164"/>
      <w:bookmarkStart w:id="1596" w:name="_Toc457246503"/>
      <w:bookmarkStart w:id="1597" w:name="_Toc457288958"/>
      <w:bookmarkStart w:id="1598" w:name="_Toc457290781"/>
      <w:bookmarkStart w:id="1599" w:name="_Toc457399154"/>
      <w:bookmarkStart w:id="1600" w:name="_Toc457458893"/>
      <w:bookmarkStart w:id="1601" w:name="_Toc457468183"/>
      <w:bookmarkStart w:id="1602" w:name="_Toc457483192"/>
      <w:bookmarkStart w:id="1603" w:name="_Toc457483588"/>
      <w:bookmarkStart w:id="1604" w:name="_Toc457506518"/>
      <w:bookmarkStart w:id="1605" w:name="_Toc457512546"/>
      <w:bookmarkStart w:id="1606" w:name="_Toc457242404"/>
      <w:bookmarkStart w:id="1607" w:name="_Toc457242787"/>
      <w:bookmarkStart w:id="1608" w:name="_Toc457243170"/>
      <w:bookmarkStart w:id="1609" w:name="_Toc457243549"/>
      <w:bookmarkStart w:id="1610" w:name="_Toc457243925"/>
      <w:bookmarkStart w:id="1611" w:name="_Toc457244307"/>
      <w:bookmarkStart w:id="1612" w:name="_Toc457244684"/>
      <w:bookmarkStart w:id="1613" w:name="_Toc457245060"/>
      <w:bookmarkStart w:id="1614" w:name="_Toc457245432"/>
      <w:bookmarkStart w:id="1615" w:name="_Toc457245803"/>
      <w:bookmarkStart w:id="1616" w:name="_Toc457246165"/>
      <w:bookmarkStart w:id="1617" w:name="_Toc457246504"/>
      <w:bookmarkStart w:id="1618" w:name="_Toc457288959"/>
      <w:bookmarkStart w:id="1619" w:name="_Toc457290782"/>
      <w:bookmarkStart w:id="1620" w:name="_Toc457399155"/>
      <w:bookmarkStart w:id="1621" w:name="_Toc457458894"/>
      <w:bookmarkStart w:id="1622" w:name="_Toc457468184"/>
      <w:bookmarkStart w:id="1623" w:name="_Toc457483193"/>
      <w:bookmarkStart w:id="1624" w:name="_Toc457483589"/>
      <w:bookmarkStart w:id="1625" w:name="_Toc457506519"/>
      <w:bookmarkStart w:id="1626" w:name="_Toc457512547"/>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1AE3E730" w14:textId="2AE05DCC" w:rsidR="000D18B4" w:rsidRPr="009F3498" w:rsidRDefault="000D18B4" w:rsidP="000D18B4">
      <w:pPr>
        <w:rPr>
          <w:lang w:val="en-US"/>
        </w:rPr>
      </w:pPr>
      <w:r w:rsidRPr="009F3498">
        <w:rPr>
          <w:lang w:val="en-US"/>
        </w:rPr>
        <w:t>The Taskforce</w:t>
      </w:r>
      <w:r>
        <w:rPr>
          <w:lang w:val="en-US"/>
        </w:rPr>
        <w:t xml:space="preserve">, </w:t>
      </w:r>
      <w:r w:rsidRPr="009F3498">
        <w:rPr>
          <w:lang w:val="en-US"/>
        </w:rPr>
        <w:t xml:space="preserve">Expert Reference Group members </w:t>
      </w:r>
      <w:r>
        <w:rPr>
          <w:lang w:val="en-US"/>
        </w:rPr>
        <w:t xml:space="preserve">and community members </w:t>
      </w:r>
      <w:r w:rsidRPr="009F3498">
        <w:rPr>
          <w:lang w:val="en-US"/>
        </w:rPr>
        <w:t xml:space="preserve">raised concerns about the limited supply of affordable and accessible housing for older people, particularly those with limited mobility and those renting in the private rental market. </w:t>
      </w:r>
      <w:r>
        <w:rPr>
          <w:lang w:val="en-US"/>
        </w:rPr>
        <w:t>T</w:t>
      </w:r>
      <w:r w:rsidRPr="009F3498">
        <w:rPr>
          <w:lang w:val="en-US"/>
        </w:rPr>
        <w:t>he current market is dominated by the supply of single</w:t>
      </w:r>
      <w:r w:rsidR="00C445FC">
        <w:rPr>
          <w:lang w:val="en-US"/>
        </w:rPr>
        <w:t>,</w:t>
      </w:r>
      <w:r w:rsidRPr="009F3498">
        <w:rPr>
          <w:lang w:val="en-US"/>
        </w:rPr>
        <w:t xml:space="preserve"> detached housing and </w:t>
      </w:r>
      <w:r w:rsidR="00C445FC">
        <w:rPr>
          <w:lang w:val="en-US"/>
        </w:rPr>
        <w:t>a</w:t>
      </w:r>
      <w:r w:rsidR="00C445FC" w:rsidRPr="009F3498">
        <w:rPr>
          <w:lang w:val="en-US"/>
        </w:rPr>
        <w:t xml:space="preserve"> </w:t>
      </w:r>
      <w:r w:rsidRPr="009F3498">
        <w:rPr>
          <w:lang w:val="en-US"/>
        </w:rPr>
        <w:t>lack of housing suitable for older persons</w:t>
      </w:r>
      <w:r w:rsidR="00C445FC">
        <w:rPr>
          <w:lang w:val="en-US"/>
        </w:rPr>
        <w:t>. As a result it is difficult for people to downsize as</w:t>
      </w:r>
      <w:r w:rsidRPr="009F3498">
        <w:rPr>
          <w:lang w:val="en-US"/>
        </w:rPr>
        <w:t xml:space="preserve"> they grow older and </w:t>
      </w:r>
      <w:r w:rsidR="00C445FC">
        <w:rPr>
          <w:lang w:val="en-US"/>
        </w:rPr>
        <w:t xml:space="preserve">their </w:t>
      </w:r>
      <w:r w:rsidRPr="009F3498">
        <w:rPr>
          <w:lang w:val="en-US"/>
        </w:rPr>
        <w:t xml:space="preserve">children move </w:t>
      </w:r>
      <w:r w:rsidR="00C445FC">
        <w:rPr>
          <w:lang w:val="en-US"/>
        </w:rPr>
        <w:t>out</w:t>
      </w:r>
      <w:r w:rsidRPr="009F3498">
        <w:rPr>
          <w:lang w:val="en-US"/>
        </w:rPr>
        <w:t xml:space="preserve">. </w:t>
      </w:r>
    </w:p>
    <w:p w14:paraId="3428E5F1" w14:textId="1F3097D0" w:rsidR="000D18B4" w:rsidRDefault="000D18B4" w:rsidP="000D18B4">
      <w:pPr>
        <w:rPr>
          <w:lang w:val="en-US"/>
        </w:rPr>
      </w:pPr>
      <w:r w:rsidRPr="009F3498">
        <w:rPr>
          <w:lang w:val="en-US"/>
        </w:rPr>
        <w:t xml:space="preserve">Consultation </w:t>
      </w:r>
      <w:r w:rsidR="00C445FC">
        <w:rPr>
          <w:lang w:val="en-US"/>
        </w:rPr>
        <w:t>relating</w:t>
      </w:r>
      <w:r w:rsidRPr="009F3498">
        <w:rPr>
          <w:lang w:val="en-US"/>
        </w:rPr>
        <w:t xml:space="preserve"> to </w:t>
      </w:r>
      <w:r w:rsidRPr="00824B89">
        <w:rPr>
          <w:i/>
          <w:lang w:val="en-US"/>
        </w:rPr>
        <w:t>Queensland: an age-friendly community</w:t>
      </w:r>
      <w:r w:rsidRPr="009F3498">
        <w:rPr>
          <w:lang w:val="en-US"/>
        </w:rPr>
        <w:t xml:space="preserve"> and development of the </w:t>
      </w:r>
      <w:r w:rsidR="00C445FC">
        <w:rPr>
          <w:lang w:val="en-US"/>
        </w:rPr>
        <w:t>h</w:t>
      </w:r>
      <w:r w:rsidRPr="009F3498">
        <w:rPr>
          <w:lang w:val="en-US"/>
        </w:rPr>
        <w:t xml:space="preserve">ousing </w:t>
      </w:r>
      <w:r w:rsidR="00C445FC">
        <w:rPr>
          <w:lang w:val="en-US"/>
        </w:rPr>
        <w:t>s</w:t>
      </w:r>
      <w:r w:rsidRPr="009F3498">
        <w:rPr>
          <w:lang w:val="en-US"/>
        </w:rPr>
        <w:t>trategy confirm</w:t>
      </w:r>
      <w:r w:rsidR="00C445FC">
        <w:rPr>
          <w:lang w:val="en-US"/>
        </w:rPr>
        <w:t>ed</w:t>
      </w:r>
      <w:r w:rsidRPr="009F3498">
        <w:rPr>
          <w:lang w:val="en-US"/>
        </w:rPr>
        <w:t xml:space="preserve"> that choice, accessibility and ageing in place options are limited</w:t>
      </w:r>
      <w:r w:rsidR="00C445FC">
        <w:rPr>
          <w:lang w:val="en-US"/>
        </w:rPr>
        <w:t>. S</w:t>
      </w:r>
      <w:r>
        <w:rPr>
          <w:lang w:val="en-US"/>
        </w:rPr>
        <w:t xml:space="preserve">ome </w:t>
      </w:r>
      <w:r w:rsidRPr="009F3498">
        <w:rPr>
          <w:lang w:val="en-US"/>
        </w:rPr>
        <w:t xml:space="preserve">expressed </w:t>
      </w:r>
      <w:r w:rsidR="00C445FC">
        <w:rPr>
          <w:lang w:val="en-US"/>
        </w:rPr>
        <w:t xml:space="preserve">the view </w:t>
      </w:r>
      <w:r w:rsidRPr="009F3498">
        <w:rPr>
          <w:lang w:val="en-US"/>
        </w:rPr>
        <w:t xml:space="preserve">that </w:t>
      </w:r>
      <w:r>
        <w:rPr>
          <w:lang w:val="en-US"/>
        </w:rPr>
        <w:t>r</w:t>
      </w:r>
      <w:r w:rsidRPr="009F3498">
        <w:rPr>
          <w:lang w:val="en-US"/>
        </w:rPr>
        <w:t xml:space="preserve">etirement </w:t>
      </w:r>
      <w:r>
        <w:rPr>
          <w:lang w:val="en-US"/>
        </w:rPr>
        <w:t>v</w:t>
      </w:r>
      <w:r w:rsidRPr="009F3498">
        <w:rPr>
          <w:lang w:val="en-US"/>
        </w:rPr>
        <w:t xml:space="preserve">illages </w:t>
      </w:r>
      <w:r>
        <w:rPr>
          <w:lang w:val="en-US"/>
        </w:rPr>
        <w:t xml:space="preserve">are </w:t>
      </w:r>
      <w:r w:rsidRPr="009F3498">
        <w:rPr>
          <w:lang w:val="en-US"/>
        </w:rPr>
        <w:t>not affordable to all people</w:t>
      </w:r>
      <w:r>
        <w:rPr>
          <w:lang w:val="en-US"/>
        </w:rPr>
        <w:t xml:space="preserve"> wanting that option</w:t>
      </w:r>
      <w:r w:rsidRPr="009F3498">
        <w:rPr>
          <w:lang w:val="en-US"/>
        </w:rPr>
        <w:t xml:space="preserve">.  </w:t>
      </w:r>
    </w:p>
    <w:p w14:paraId="200A2FA9" w14:textId="382BCB32" w:rsidR="000D18B4" w:rsidRDefault="000D18B4" w:rsidP="000D18B4">
      <w:pPr>
        <w:rPr>
          <w:lang w:val="en-US"/>
        </w:rPr>
      </w:pPr>
      <w:r>
        <w:rPr>
          <w:lang w:val="en-US"/>
        </w:rPr>
        <w:t xml:space="preserve">The Taskforce heard that affordable housing rarely provides the profit yields that investors in the private sector and superannuation funds seek. A possible option is to leverage affordable housing </w:t>
      </w:r>
      <w:r w:rsidR="002041A3">
        <w:rPr>
          <w:lang w:val="en-US"/>
        </w:rPr>
        <w:t xml:space="preserve">options </w:t>
      </w:r>
      <w:r>
        <w:rPr>
          <w:lang w:val="en-US"/>
        </w:rPr>
        <w:t>off projects being delivered for the more affluent.</w:t>
      </w:r>
    </w:p>
    <w:p w14:paraId="41D32975" w14:textId="677F3E55" w:rsidR="000D18B4" w:rsidRDefault="000D18B4" w:rsidP="000D18B4">
      <w:r>
        <w:lastRenderedPageBreak/>
        <w:t>In the</w:t>
      </w:r>
      <w:r w:rsidRPr="003828A0">
        <w:t xml:space="preserve"> United States</w:t>
      </w:r>
      <w:r w:rsidR="002041A3">
        <w:t>,</w:t>
      </w:r>
      <w:r w:rsidRPr="003828A0">
        <w:t xml:space="preserve"> </w:t>
      </w:r>
      <w:r>
        <w:t xml:space="preserve">where there is limited </w:t>
      </w:r>
      <w:r w:rsidR="001837C6">
        <w:t xml:space="preserve">housing </w:t>
      </w:r>
      <w:r>
        <w:t xml:space="preserve">provision by the government, there is </w:t>
      </w:r>
      <w:r w:rsidRPr="003828A0">
        <w:t>a tradition of philanthropic organisations providing affordable housing solutions</w:t>
      </w:r>
      <w:r>
        <w:t xml:space="preserve"> funded </w:t>
      </w:r>
      <w:r w:rsidR="002041A3">
        <w:t xml:space="preserve">largely </w:t>
      </w:r>
      <w:r>
        <w:t xml:space="preserve">through cover bonds and tax credit arrangements. </w:t>
      </w:r>
      <w:r w:rsidR="002041A3">
        <w:t>By</w:t>
      </w:r>
      <w:r w:rsidR="002041A3" w:rsidRPr="003828A0">
        <w:t xml:space="preserve"> </w:t>
      </w:r>
      <w:r>
        <w:t xml:space="preserve">comparison, </w:t>
      </w:r>
      <w:r w:rsidR="002041A3">
        <w:t xml:space="preserve">the philanthropic sector in </w:t>
      </w:r>
      <w:r w:rsidRPr="003828A0">
        <w:t xml:space="preserve">Australia </w:t>
      </w:r>
      <w:r w:rsidR="002041A3">
        <w:t xml:space="preserve">is less </w:t>
      </w:r>
      <w:r>
        <w:t xml:space="preserve">developed and </w:t>
      </w:r>
      <w:r w:rsidR="002041A3">
        <w:t xml:space="preserve">is not a significant contributor </w:t>
      </w:r>
      <w:r w:rsidRPr="003828A0">
        <w:t xml:space="preserve">to </w:t>
      </w:r>
      <w:r>
        <w:t>affordable housing.</w:t>
      </w:r>
      <w:r>
        <w:rPr>
          <w:rStyle w:val="FootnoteReference"/>
        </w:rPr>
        <w:footnoteReference w:id="56"/>
      </w:r>
      <w:r>
        <w:t xml:space="preserve"> There may be opportunities for further partnering with this sector.</w:t>
      </w:r>
    </w:p>
    <w:p w14:paraId="5CEA36C8" w14:textId="5009C703" w:rsidR="000D18B4" w:rsidRDefault="000D18B4" w:rsidP="000D18B4">
      <w:r>
        <w:t>The Financial Options Roundtable discussed at length how the private sector could be engaged to invest in housing for older people. It indicated that superannuation funds and affinity organisations</w:t>
      </w:r>
      <w:r w:rsidR="002041A3">
        <w:t>,</w:t>
      </w:r>
      <w:r>
        <w:t xml:space="preserve"> such as the Royal Automobile Club of Queensland (RACQ)</w:t>
      </w:r>
      <w:r w:rsidR="002041A3">
        <w:t>,</w:t>
      </w:r>
      <w:r>
        <w:t xml:space="preserve"> are seeking increased opportunities to engage with their customer base on issues broader than their traditional core business</w:t>
      </w:r>
      <w:r w:rsidR="002041A3">
        <w:t>. There</w:t>
      </w:r>
      <w:r>
        <w:t xml:space="preserve"> may be opportunities to partner with these organisations as well as private equity firms.</w:t>
      </w:r>
    </w:p>
    <w:p w14:paraId="00511F23" w14:textId="745AAF4C" w:rsidR="000D18B4" w:rsidRDefault="000D18B4" w:rsidP="000D18B4">
      <w:r>
        <w:t>T</w:t>
      </w:r>
      <w:r w:rsidRPr="003828A0">
        <w:t xml:space="preserve">he Affordable Housing Working Group established by the Australian Government is focused on increasing the supply of affordable housing (social housing and housing in the private rental market) through </w:t>
      </w:r>
      <w:r w:rsidR="002041A3" w:rsidRPr="003828A0">
        <w:t xml:space="preserve">financing models </w:t>
      </w:r>
      <w:r w:rsidR="002041A3">
        <w:t xml:space="preserve">that are </w:t>
      </w:r>
      <w:r w:rsidRPr="003828A0">
        <w:t>innovative, transformative and implementable.</w:t>
      </w:r>
      <w:r>
        <w:t xml:space="preserve"> </w:t>
      </w:r>
    </w:p>
    <w:p w14:paraId="43242382" w14:textId="13E24D6B" w:rsidR="000D18B4" w:rsidRDefault="000D18B4" w:rsidP="000D18B4">
      <w:r w:rsidRPr="007570D4">
        <w:t>Social housing</w:t>
      </w:r>
      <w:r>
        <w:t xml:space="preserve"> delivered by the Queensland </w:t>
      </w:r>
      <w:r w:rsidR="002041A3">
        <w:t>G</w:t>
      </w:r>
      <w:r>
        <w:t xml:space="preserve">overnment </w:t>
      </w:r>
      <w:r w:rsidR="002041A3">
        <w:t xml:space="preserve">and </w:t>
      </w:r>
      <w:r>
        <w:t>community housing organisations</w:t>
      </w:r>
      <w:r w:rsidRPr="007570D4">
        <w:t xml:space="preserve"> plays a key role in supporting older people on low incomes to age in place. In Queensland</w:t>
      </w:r>
      <w:r w:rsidR="002041A3">
        <w:t>,</w:t>
      </w:r>
      <w:r w:rsidRPr="007570D4">
        <w:t xml:space="preserve"> 4.4</w:t>
      </w:r>
      <w:r w:rsidR="003D64E0">
        <w:t xml:space="preserve"> per cent</w:t>
      </w:r>
      <w:r w:rsidRPr="007570D4">
        <w:t xml:space="preserve"> of </w:t>
      </w:r>
      <w:r>
        <w:t xml:space="preserve">people aged </w:t>
      </w:r>
      <w:r w:rsidRPr="007570D4">
        <w:t>over 65 live in social housing.</w:t>
      </w:r>
      <w:r w:rsidRPr="007570D4">
        <w:rPr>
          <w:vertAlign w:val="superscript"/>
        </w:rPr>
        <w:footnoteReference w:id="57"/>
      </w:r>
      <w:r w:rsidRPr="007570D4">
        <w:t xml:space="preserve"> Older social housing tenants are able to have their dwellings modified, based on assessments by </w:t>
      </w:r>
      <w:r>
        <w:t>o</w:t>
      </w:r>
      <w:r w:rsidRPr="007570D4">
        <w:t xml:space="preserve">ccupational </w:t>
      </w:r>
      <w:r>
        <w:t>t</w:t>
      </w:r>
      <w:r w:rsidRPr="007570D4">
        <w:t xml:space="preserve">herapists. </w:t>
      </w:r>
      <w:r w:rsidRPr="004C1AE3">
        <w:t>In addition</w:t>
      </w:r>
      <w:r>
        <w:t>,</w:t>
      </w:r>
      <w:r w:rsidRPr="004C1AE3">
        <w:t xml:space="preserve"> older people are invited and assisted to </w:t>
      </w:r>
      <w:r w:rsidRPr="007570D4">
        <w:t xml:space="preserve">transfer from larger to smaller properties. </w:t>
      </w:r>
    </w:p>
    <w:p w14:paraId="442CED89" w14:textId="4FEE8B7D" w:rsidR="000D18B4" w:rsidRPr="008A2CD5" w:rsidRDefault="000D18B4" w:rsidP="000D18B4">
      <w:r w:rsidRPr="004C1AE3">
        <w:t>An additional challenge is to develop new forms of service-integrated housing, as many ageing social housing tenants develop needs for on-site care and support that are difficult to meet.</w:t>
      </w:r>
      <w:r w:rsidRPr="008A2CD5">
        <w:t xml:space="preserve"> There may be opportunities for the Department of Housing and Public Works to partner with agencies to increase the supply of social housing using designs and developments that offer choices for older people</w:t>
      </w:r>
      <w:r w:rsidR="00012DA6">
        <w:t xml:space="preserve">. This may include </w:t>
      </w:r>
      <w:r w:rsidRPr="008A2CD5">
        <w:t>provid</w:t>
      </w:r>
      <w:r w:rsidR="00012DA6">
        <w:t>ing</w:t>
      </w:r>
      <w:r w:rsidRPr="008A2CD5">
        <w:t xml:space="preserve"> different levels of on-site care and support </w:t>
      </w:r>
      <w:r w:rsidR="00012DA6">
        <w:t>tailored to</w:t>
      </w:r>
      <w:r w:rsidRPr="008A2CD5">
        <w:t xml:space="preserve"> the needs of the person.</w:t>
      </w:r>
    </w:p>
    <w:p w14:paraId="46731BCA" w14:textId="0264299D" w:rsidR="00E2759B" w:rsidRDefault="000D18B4" w:rsidP="000D18B4">
      <w:r w:rsidRPr="008A2CD5">
        <w:t xml:space="preserve">These partnerships could involve co-location and sharing of facilities and living space by older people with different housing tenures. </w:t>
      </w:r>
      <w:r w:rsidR="00012DA6">
        <w:t>An example is the</w:t>
      </w:r>
      <w:r w:rsidRPr="008A2CD5">
        <w:t xml:space="preserve"> Moonah Park facilit</w:t>
      </w:r>
      <w:r w:rsidR="00012DA6">
        <w:t>y</w:t>
      </w:r>
      <w:r w:rsidRPr="008A2CD5">
        <w:t xml:space="preserve"> provided by Churches of Christ Care, where aged care, retirement village and social housing arrangements are provided for older people in a community setting.</w:t>
      </w:r>
    </w:p>
    <w:p w14:paraId="52803D2B" w14:textId="77777777" w:rsidR="00E2759B" w:rsidRDefault="00E2759B" w:rsidP="000D18B4"/>
    <w:p w14:paraId="717352A0" w14:textId="3F1155D2" w:rsidR="000D18B4" w:rsidRDefault="00390491" w:rsidP="000D18B4">
      <w:pPr>
        <w:pStyle w:val="Heading2"/>
      </w:pPr>
      <w:bookmarkStart w:id="1627" w:name="_Toc460257513"/>
      <w:r>
        <w:t>Innovative</w:t>
      </w:r>
      <w:r w:rsidR="000D18B4">
        <w:t xml:space="preserve"> accommodation options</w:t>
      </w:r>
      <w:bookmarkEnd w:id="1627"/>
    </w:p>
    <w:p w14:paraId="7035A860" w14:textId="488C37FB" w:rsidR="000D18B4" w:rsidRDefault="000D18B4" w:rsidP="000D18B4">
      <w:r w:rsidRPr="003828A0">
        <w:t>Professor Bruce Judd</w:t>
      </w:r>
      <w:r>
        <w:t xml:space="preserve"> noted</w:t>
      </w:r>
      <w:r w:rsidRPr="003828A0">
        <w:t xml:space="preserve"> that the housing market in Australia is conservative </w:t>
      </w:r>
      <w:r w:rsidR="00012DA6">
        <w:t xml:space="preserve">and lacks innovation </w:t>
      </w:r>
      <w:r w:rsidRPr="003828A0">
        <w:t xml:space="preserve">compared </w:t>
      </w:r>
      <w:r>
        <w:t xml:space="preserve">with </w:t>
      </w:r>
      <w:r w:rsidR="00E2759B">
        <w:t xml:space="preserve">other </w:t>
      </w:r>
      <w:r>
        <w:t>countries and that there is the potential in Queensland for more innovative housing options and models.</w:t>
      </w:r>
      <w:r w:rsidRPr="003828A0">
        <w:rPr>
          <w:rStyle w:val="FootnoteReference"/>
        </w:rPr>
        <w:footnoteReference w:id="58"/>
      </w:r>
      <w:r>
        <w:t xml:space="preserve"> </w:t>
      </w:r>
    </w:p>
    <w:p w14:paraId="55896C93" w14:textId="3EBAFB09" w:rsidR="000D18B4" w:rsidRDefault="00012DA6" w:rsidP="00911F41">
      <w:r>
        <w:t>The</w:t>
      </w:r>
      <w:r w:rsidR="000D18B4">
        <w:t xml:space="preserve"> Taskforce</w:t>
      </w:r>
      <w:r>
        <w:t xml:space="preserve"> identified many examples of</w:t>
      </w:r>
      <w:r w:rsidR="000D18B4" w:rsidRPr="00083AA4">
        <w:t xml:space="preserve"> innovative forms of </w:t>
      </w:r>
      <w:r w:rsidR="000D18B4">
        <w:t xml:space="preserve">housing that cater to the different needs of older people. Some examples are:  </w:t>
      </w:r>
    </w:p>
    <w:p w14:paraId="14172D6E" w14:textId="3770B8FB" w:rsidR="000D18B4" w:rsidRPr="00911F41" w:rsidRDefault="000D18B4" w:rsidP="000D18B4">
      <w:pPr>
        <w:keepNext/>
        <w:keepLines/>
        <w:spacing w:before="40" w:after="0"/>
        <w:outlineLvl w:val="2"/>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t xml:space="preserve">Fitzgibbon </w:t>
      </w:r>
      <w:r w:rsidR="001837C6">
        <w:rPr>
          <w:rFonts w:asciiTheme="majorHAnsi" w:eastAsiaTheme="majorEastAsia" w:hAnsiTheme="majorHAnsi" w:cstheme="majorBidi"/>
          <w:color w:val="365F91" w:themeColor="accent1" w:themeShade="BF"/>
          <w:sz w:val="24"/>
          <w:szCs w:val="24"/>
        </w:rPr>
        <w:t>C</w:t>
      </w:r>
      <w:r w:rsidRPr="00911F41">
        <w:rPr>
          <w:rFonts w:asciiTheme="majorHAnsi" w:eastAsiaTheme="majorEastAsia" w:hAnsiTheme="majorHAnsi" w:cstheme="majorBidi"/>
          <w:color w:val="365F91" w:themeColor="accent1" w:themeShade="BF"/>
          <w:sz w:val="24"/>
          <w:szCs w:val="24"/>
        </w:rPr>
        <w:t xml:space="preserve">hase </w:t>
      </w:r>
    </w:p>
    <w:p w14:paraId="58368942" w14:textId="6E162270" w:rsidR="000D18B4" w:rsidRPr="00EC5CAF" w:rsidRDefault="000D18B4" w:rsidP="000D18B4">
      <w:r w:rsidRPr="00EC5CAF">
        <w:t>Fitzgibbon Chase is a master</w:t>
      </w:r>
      <w:r w:rsidR="00012DA6">
        <w:t>-</w:t>
      </w:r>
      <w:r w:rsidRPr="00EC5CAF">
        <w:t>planned community located 13km from the Brisbane CBD. It is located within close proximity of transport, shopping and established amenities. The development was designed to include a diverse range of high quality, well</w:t>
      </w:r>
      <w:r w:rsidR="00012DA6">
        <w:t>-</w:t>
      </w:r>
      <w:r w:rsidRPr="00EC5CAF">
        <w:t xml:space="preserve">designed and well-priced homes and living options.  </w:t>
      </w:r>
    </w:p>
    <w:p w14:paraId="3F3CA0F0" w14:textId="07A49B84" w:rsidR="000D18B4" w:rsidRPr="00EC5CAF" w:rsidRDefault="00A54C64" w:rsidP="000D18B4">
      <w:r>
        <w:br w:type="column"/>
      </w:r>
      <w:r w:rsidR="0099076D" w:rsidRPr="00EC5CAF">
        <w:lastRenderedPageBreak/>
        <w:t>The community</w:t>
      </w:r>
      <w:r w:rsidR="0099076D" w:rsidRPr="004C1AE3">
        <w:t xml:space="preserve"> was</w:t>
      </w:r>
      <w:r w:rsidR="0099076D" w:rsidRPr="00EC5CAF">
        <w:t xml:space="preserve"> planned </w:t>
      </w:r>
      <w:r w:rsidR="0099076D" w:rsidRPr="004C1AE3">
        <w:t xml:space="preserve">to </w:t>
      </w:r>
      <w:r w:rsidR="0099076D" w:rsidRPr="00EC5CAF">
        <w:t xml:space="preserve">incorporate different types of dwellings </w:t>
      </w:r>
      <w:r w:rsidR="000D18B4" w:rsidRPr="00EC5CAF">
        <w:t>including units, houses</w:t>
      </w:r>
      <w:r w:rsidR="0099076D">
        <w:t xml:space="preserve"> and</w:t>
      </w:r>
      <w:r w:rsidR="000D18B4" w:rsidRPr="00EC5CAF">
        <w:t xml:space="preserve"> townhouses. </w:t>
      </w:r>
      <w:r w:rsidR="0099076D">
        <w:t>It</w:t>
      </w:r>
      <w:r w:rsidR="000D18B4" w:rsidRPr="00EC5CAF">
        <w:t xml:space="preserve"> provid</w:t>
      </w:r>
      <w:r w:rsidR="0099076D">
        <w:t>es</w:t>
      </w:r>
      <w:r w:rsidR="000D18B4" w:rsidRPr="00EC5CAF">
        <w:t xml:space="preserve"> the opportunity for people to buy or sell in the same area, </w:t>
      </w:r>
      <w:r w:rsidR="0099076D">
        <w:t>which</w:t>
      </w:r>
      <w:r w:rsidR="001837C6">
        <w:t xml:space="preserve"> is</w:t>
      </w:r>
      <w:r w:rsidR="0099076D">
        <w:t xml:space="preserve"> </w:t>
      </w:r>
      <w:r w:rsidR="000D18B4" w:rsidRPr="00EC5CAF">
        <w:t xml:space="preserve">ideal for people wanting to downsize in the same </w:t>
      </w:r>
      <w:r w:rsidR="0099076D">
        <w:t>community</w:t>
      </w:r>
      <w:r w:rsidR="001837C6">
        <w:t xml:space="preserve"> to remain</w:t>
      </w:r>
      <w:r w:rsidR="000D18B4" w:rsidRPr="00EC5CAF">
        <w:t xml:space="preserve"> close to friends and family. </w:t>
      </w:r>
      <w:r w:rsidR="000D18B4" w:rsidRPr="004C1AE3">
        <w:t>Social housing is also provided in the community.</w:t>
      </w:r>
    </w:p>
    <w:p w14:paraId="13F6E99D" w14:textId="77777777" w:rsidR="000D18B4" w:rsidRPr="00911F41" w:rsidRDefault="000D18B4" w:rsidP="000D18B4">
      <w:pPr>
        <w:keepNext/>
        <w:keepLines/>
        <w:spacing w:before="40" w:after="0"/>
        <w:outlineLvl w:val="2"/>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t>Seniors’ clusters</w:t>
      </w:r>
    </w:p>
    <w:p w14:paraId="026CD806" w14:textId="2DD62185" w:rsidR="000D18B4" w:rsidRPr="004C1AE3" w:rsidRDefault="000D18B4" w:rsidP="000D18B4">
      <w:r w:rsidRPr="004C1AE3">
        <w:t xml:space="preserve">Seniors’ clusters, sometimes referred to as </w:t>
      </w:r>
      <w:r w:rsidR="0099076D">
        <w:t>‘</w:t>
      </w:r>
      <w:r w:rsidRPr="004C1AE3">
        <w:t>pocket communities</w:t>
      </w:r>
      <w:r w:rsidR="0099076D">
        <w:t>’</w:t>
      </w:r>
      <w:r w:rsidRPr="004C1AE3">
        <w:t xml:space="preserve"> involve a small number of dwellings built around a common green space. Public areas of the homes tend to face the shared spaces with bedrooms further away. This concept can be taken further into more sophisticated forms of </w:t>
      </w:r>
      <w:r w:rsidR="00E42B48">
        <w:t xml:space="preserve">           </w:t>
      </w:r>
      <w:r w:rsidR="0099076D">
        <w:t xml:space="preserve">space-sharing and </w:t>
      </w:r>
      <w:r w:rsidRPr="004C1AE3">
        <w:t>co-housing.</w:t>
      </w:r>
    </w:p>
    <w:p w14:paraId="24A80332" w14:textId="77777777" w:rsidR="000D18B4" w:rsidRPr="00911F41" w:rsidRDefault="000D18B4" w:rsidP="000D18B4">
      <w:pPr>
        <w:keepNext/>
        <w:keepLines/>
        <w:spacing w:before="40" w:after="0"/>
        <w:outlineLvl w:val="2"/>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t>Co-housing</w:t>
      </w:r>
    </w:p>
    <w:p w14:paraId="5C8F64AA" w14:textId="0141A9A8" w:rsidR="000D18B4" w:rsidRDefault="000D18B4" w:rsidP="000D18B4">
      <w:r w:rsidRPr="004C1AE3">
        <w:t>A co</w:t>
      </w:r>
      <w:r>
        <w:t>-</w:t>
      </w:r>
      <w:r w:rsidRPr="004C1AE3">
        <w:t xml:space="preserve">housing </w:t>
      </w:r>
      <w:r>
        <w:t>arrangement</w:t>
      </w:r>
      <w:r w:rsidRPr="004C1AE3">
        <w:t xml:space="preserve"> </w:t>
      </w:r>
      <w:r w:rsidR="0099076D">
        <w:t>comprises</w:t>
      </w:r>
      <w:r w:rsidRPr="004C1AE3">
        <w:t xml:space="preserve"> private </w:t>
      </w:r>
      <w:r>
        <w:t xml:space="preserve">dwellings </w:t>
      </w:r>
      <w:r w:rsidR="0099076D">
        <w:t xml:space="preserve">(homes or rooms) </w:t>
      </w:r>
      <w:r w:rsidRPr="004C1AE3">
        <w:t>supplemented by shared facilities. The community is planned, owned and managed by the residents</w:t>
      </w:r>
      <w:r w:rsidR="0099076D">
        <w:t>,</w:t>
      </w:r>
      <w:r w:rsidRPr="004C1AE3">
        <w:t xml:space="preserve"> who also share activities </w:t>
      </w:r>
      <w:r w:rsidR="0099076D">
        <w:t>like</w:t>
      </w:r>
      <w:r w:rsidRPr="004C1AE3">
        <w:t xml:space="preserve"> cooking, dining, child care, gardening and governance of the community. Common facilities may include a kitchen, dining room, laundry, child care facilities, offices, internet access, guest rooms and recreational features. Co</w:t>
      </w:r>
      <w:r>
        <w:t>-</w:t>
      </w:r>
      <w:r w:rsidRPr="004C1AE3">
        <w:t xml:space="preserve">housing facilitates interaction among neighbours for social, economic and environmental benefits.  </w:t>
      </w:r>
    </w:p>
    <w:p w14:paraId="0415B3E4" w14:textId="23127D24" w:rsidR="000D18B4" w:rsidRDefault="000D18B4" w:rsidP="000D18B4">
      <w:r w:rsidRPr="004C1AE3">
        <w:t>Hundreds of co</w:t>
      </w:r>
      <w:r>
        <w:t>-</w:t>
      </w:r>
      <w:r w:rsidRPr="004C1AE3">
        <w:t xml:space="preserve">housing communities </w:t>
      </w:r>
      <w:r>
        <w:t>for older people</w:t>
      </w:r>
      <w:r w:rsidRPr="004C1AE3">
        <w:t xml:space="preserve"> exist in the Netherlands, Denmark</w:t>
      </w:r>
      <w:r>
        <w:t>,</w:t>
      </w:r>
      <w:r w:rsidRPr="004C1AE3">
        <w:t xml:space="preserve"> other northern Europe</w:t>
      </w:r>
      <w:r w:rsidR="0099076D">
        <w:t>an countries</w:t>
      </w:r>
      <w:r>
        <w:t xml:space="preserve"> and Canada</w:t>
      </w:r>
      <w:r w:rsidRPr="004C1AE3">
        <w:t xml:space="preserve">.  </w:t>
      </w:r>
    </w:p>
    <w:p w14:paraId="4FA2D50B" w14:textId="14FD8025" w:rsidR="000D18B4" w:rsidRPr="000F0B20" w:rsidRDefault="000D18B4" w:rsidP="000D18B4">
      <w:r>
        <w:t xml:space="preserve">Some co-housing projects </w:t>
      </w:r>
      <w:r w:rsidRPr="004C1AE3">
        <w:t xml:space="preserve">attempt to establish a multi-generational community, </w:t>
      </w:r>
      <w:r>
        <w:t xml:space="preserve">whilst others </w:t>
      </w:r>
      <w:r w:rsidRPr="004C1AE3">
        <w:t xml:space="preserve">are specifically </w:t>
      </w:r>
      <w:r>
        <w:t xml:space="preserve">for older people. As supportive environments </w:t>
      </w:r>
      <w:r w:rsidR="0099076D">
        <w:t>that promote</w:t>
      </w:r>
      <w:r>
        <w:t xml:space="preserve"> ageing in place, co-housing is particularly well-suited for women, older people and some culturally and linguistically diverse groups.</w:t>
      </w:r>
      <w:r>
        <w:rPr>
          <w:rStyle w:val="FootnoteReference"/>
        </w:rPr>
        <w:footnoteReference w:id="59"/>
      </w:r>
      <w:r>
        <w:t xml:space="preserve"> </w:t>
      </w:r>
    </w:p>
    <w:p w14:paraId="34D3EF13" w14:textId="5C29D6AB" w:rsidR="000D18B4" w:rsidRPr="00911F41" w:rsidRDefault="000D18B4" w:rsidP="000D18B4">
      <w:pPr>
        <w:keepNext/>
        <w:keepLines/>
        <w:spacing w:before="40" w:after="0"/>
        <w:outlineLvl w:val="2"/>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t xml:space="preserve">Apartments for </w:t>
      </w:r>
      <w:r w:rsidR="0099076D" w:rsidRPr="00911F41">
        <w:rPr>
          <w:rFonts w:asciiTheme="majorHAnsi" w:eastAsiaTheme="majorEastAsia" w:hAnsiTheme="majorHAnsi" w:cstheme="majorBidi"/>
          <w:color w:val="365F91" w:themeColor="accent1" w:themeShade="BF"/>
          <w:sz w:val="24"/>
          <w:szCs w:val="24"/>
        </w:rPr>
        <w:t>l</w:t>
      </w:r>
      <w:r w:rsidRPr="00911F41">
        <w:rPr>
          <w:rFonts w:asciiTheme="majorHAnsi" w:eastAsiaTheme="majorEastAsia" w:hAnsiTheme="majorHAnsi" w:cstheme="majorBidi"/>
          <w:color w:val="365F91" w:themeColor="accent1" w:themeShade="BF"/>
          <w:sz w:val="24"/>
          <w:szCs w:val="24"/>
        </w:rPr>
        <w:t>ife</w:t>
      </w:r>
    </w:p>
    <w:p w14:paraId="41876AD8" w14:textId="1D1DAC35" w:rsidR="000D18B4" w:rsidRDefault="000D18B4" w:rsidP="000D18B4">
      <w:r w:rsidRPr="004C1AE3">
        <w:t xml:space="preserve">The concept of creating communities with a combination of shared and private space is also central to the Humanitas ‘Apartments for Life’ </w:t>
      </w:r>
      <w:r w:rsidR="0099076D">
        <w:t xml:space="preserve">model. </w:t>
      </w:r>
      <w:r w:rsidRPr="004C1AE3">
        <w:t>The model includes apartment</w:t>
      </w:r>
      <w:r>
        <w:t xml:space="preserve"> complexes</w:t>
      </w:r>
      <w:r w:rsidRPr="004C1AE3">
        <w:t>, lived in and partly run by independent older people, and offer</w:t>
      </w:r>
      <w:r w:rsidR="0099076D">
        <w:t>s</w:t>
      </w:r>
      <w:r w:rsidRPr="004C1AE3">
        <w:t xml:space="preserve"> services on a needs basis. These include medical, daily care, recreational, educational and social</w:t>
      </w:r>
      <w:r w:rsidR="0099076D">
        <w:t xml:space="preserve"> support</w:t>
      </w:r>
      <w:r w:rsidRPr="004C1AE3">
        <w:t xml:space="preserve">, up to and including nursing home-type care.  The concept was developed in </w:t>
      </w:r>
      <w:r w:rsidR="0099076D" w:rsidRPr="004C1AE3">
        <w:t xml:space="preserve">Rotterdam </w:t>
      </w:r>
      <w:r w:rsidR="0099076D">
        <w:t xml:space="preserve">in </w:t>
      </w:r>
      <w:r w:rsidRPr="004C1AE3">
        <w:t xml:space="preserve">response to the demand for an alternative to old-style nursing homes and hostels. </w:t>
      </w:r>
      <w:r w:rsidR="0099076D">
        <w:t>It</w:t>
      </w:r>
      <w:r w:rsidR="0099076D" w:rsidRPr="004C1AE3">
        <w:t xml:space="preserve"> </w:t>
      </w:r>
      <w:r w:rsidR="004461D0">
        <w:t xml:space="preserve">seeks to </w:t>
      </w:r>
      <w:r w:rsidR="0099076D" w:rsidRPr="004C1AE3">
        <w:t xml:space="preserve">maximise </w:t>
      </w:r>
      <w:r w:rsidR="004461D0">
        <w:t xml:space="preserve">both </w:t>
      </w:r>
      <w:r w:rsidR="0099076D" w:rsidRPr="004C1AE3">
        <w:t>the independence and community connections of residents as they age and begin to require greater amounts of care.</w:t>
      </w:r>
    </w:p>
    <w:p w14:paraId="031AAA21" w14:textId="77777777" w:rsidR="00BA3344" w:rsidRPr="00911F41" w:rsidRDefault="000E1632" w:rsidP="00BA3344">
      <w:pPr>
        <w:spacing w:after="0"/>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t>S</w:t>
      </w:r>
      <w:r w:rsidR="00BA3344" w:rsidRPr="00911F41">
        <w:rPr>
          <w:rFonts w:asciiTheme="majorHAnsi" w:eastAsiaTheme="majorEastAsia" w:hAnsiTheme="majorHAnsi" w:cstheme="majorBidi"/>
          <w:color w:val="365F91" w:themeColor="accent1" w:themeShade="BF"/>
          <w:sz w:val="24"/>
          <w:szCs w:val="24"/>
        </w:rPr>
        <w:t>hared equity loan</w:t>
      </w:r>
      <w:r w:rsidRPr="00911F41">
        <w:rPr>
          <w:rFonts w:asciiTheme="majorHAnsi" w:eastAsiaTheme="majorEastAsia" w:hAnsiTheme="majorHAnsi" w:cstheme="majorBidi"/>
          <w:color w:val="365F91" w:themeColor="accent1" w:themeShade="BF"/>
          <w:sz w:val="24"/>
          <w:szCs w:val="24"/>
        </w:rPr>
        <w:t>s</w:t>
      </w:r>
    </w:p>
    <w:p w14:paraId="30FD564F" w14:textId="5E35F97D" w:rsidR="00BA3344" w:rsidRDefault="00756053" w:rsidP="000D18B4">
      <w:r>
        <w:t>Tenants in government</w:t>
      </w:r>
      <w:r w:rsidR="00120FF7">
        <w:t>-</w:t>
      </w:r>
      <w:r>
        <w:t>owned</w:t>
      </w:r>
      <w:r w:rsidR="00120FF7">
        <w:t xml:space="preserve"> </w:t>
      </w:r>
      <w:r>
        <w:t>housing are able to enter into a partnership with the government to buy a share of the home in which they are living</w:t>
      </w:r>
      <w:r w:rsidR="00120FF7">
        <w:t>. I</w:t>
      </w:r>
      <w:r w:rsidR="000E1632">
        <w:t xml:space="preserve">n Queensland </w:t>
      </w:r>
      <w:r w:rsidR="00120FF7">
        <w:t xml:space="preserve">it is known </w:t>
      </w:r>
      <w:r>
        <w:t xml:space="preserve">as </w:t>
      </w:r>
      <w:r w:rsidR="000E1632">
        <w:t>the</w:t>
      </w:r>
      <w:r>
        <w:t xml:space="preserve"> </w:t>
      </w:r>
      <w:r w:rsidR="00BA3344" w:rsidRPr="00BA3344">
        <w:rPr>
          <w:i/>
        </w:rPr>
        <w:t>Pathways shared equity loan</w:t>
      </w:r>
      <w:r>
        <w:rPr>
          <w:i/>
        </w:rPr>
        <w:t xml:space="preserve">. </w:t>
      </w:r>
      <w:r w:rsidR="00BA3344">
        <w:t xml:space="preserve">Over time, more shares can be purchased in the partnership and the former tenant can become a full home owner. </w:t>
      </w:r>
      <w:r>
        <w:t>This type of product</w:t>
      </w:r>
      <w:r w:rsidR="00B64E80">
        <w:t>, funded by government or by social impact bonds</w:t>
      </w:r>
      <w:r w:rsidR="00120FF7">
        <w:t>,</w:t>
      </w:r>
      <w:r w:rsidR="000E1632">
        <w:t xml:space="preserve"> </w:t>
      </w:r>
      <w:r>
        <w:t>was flagged during community consultation as a beneficial arrangement both for the older person and the government.</w:t>
      </w:r>
    </w:p>
    <w:p w14:paraId="2F38F2CB" w14:textId="77777777" w:rsidR="000D18B4" w:rsidRPr="00911F41" w:rsidRDefault="000D18B4" w:rsidP="000D18B4">
      <w:pPr>
        <w:spacing w:after="0"/>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t>RV Home Base</w:t>
      </w:r>
    </w:p>
    <w:p w14:paraId="36C713CA" w14:textId="04E9AB2E" w:rsidR="000D18B4" w:rsidRDefault="00120FF7" w:rsidP="000D18B4">
      <w:r>
        <w:t>It</w:t>
      </w:r>
      <w:r w:rsidR="000D18B4">
        <w:t xml:space="preserve"> is estimated </w:t>
      </w:r>
      <w:r>
        <w:t xml:space="preserve">that </w:t>
      </w:r>
      <w:r w:rsidR="000D18B4">
        <w:t>80,000 grey nomads are on the road</w:t>
      </w:r>
      <w:r>
        <w:t xml:space="preserve"> at any one time in Australia</w:t>
      </w:r>
      <w:r w:rsidR="000D18B4">
        <w:t>.</w:t>
      </w:r>
      <w:r w:rsidR="000D18B4" w:rsidRPr="00F11A05">
        <w:rPr>
          <w:rStyle w:val="FootnoteReference"/>
        </w:rPr>
        <w:t xml:space="preserve"> </w:t>
      </w:r>
      <w:r w:rsidR="000D18B4">
        <w:rPr>
          <w:rStyle w:val="FootnoteReference"/>
        </w:rPr>
        <w:footnoteReference w:id="60"/>
      </w:r>
      <w:r w:rsidR="000D18B4">
        <w:t xml:space="preserve"> </w:t>
      </w:r>
      <w:r w:rsidR="000D18B4">
        <w:rPr>
          <w:rStyle w:val="FootnoteReference"/>
        </w:rPr>
        <w:footnoteReference w:id="61"/>
      </w:r>
      <w:r w:rsidR="000D18B4">
        <w:t xml:space="preserve"> </w:t>
      </w:r>
      <w:r w:rsidR="000D18B4" w:rsidRPr="001D5350">
        <w:t xml:space="preserve">RV Home Base </w:t>
      </w:r>
      <w:r w:rsidR="000D18B4">
        <w:t xml:space="preserve">in Hervey Bay provides housing in a </w:t>
      </w:r>
      <w:r w:rsidR="000D18B4" w:rsidRPr="001D5350">
        <w:t>re</w:t>
      </w:r>
      <w:r w:rsidR="000D18B4">
        <w:t>tirement village arrangement</w:t>
      </w:r>
      <w:r>
        <w:t xml:space="preserve"> that</w:t>
      </w:r>
      <w:r w:rsidR="000D18B4">
        <w:t xml:space="preserve"> is purpose built to accommodate older own</w:t>
      </w:r>
      <w:r>
        <w:t>ers of</w:t>
      </w:r>
      <w:r w:rsidR="000D18B4">
        <w:t xml:space="preserve"> recreational vehicles and their active lifestyles.</w:t>
      </w:r>
      <w:r w:rsidR="000D18B4">
        <w:rPr>
          <w:rStyle w:val="FootnoteReference"/>
        </w:rPr>
        <w:footnoteReference w:id="62"/>
      </w:r>
      <w:r w:rsidR="000D18B4">
        <w:t xml:space="preserve"> </w:t>
      </w:r>
      <w:r w:rsidR="000D18B4">
        <w:rPr>
          <w:rStyle w:val="FootnoteReference"/>
        </w:rPr>
        <w:footnoteReference w:id="63"/>
      </w:r>
    </w:p>
    <w:p w14:paraId="0E4EEF26" w14:textId="77777777" w:rsidR="000D18B4" w:rsidRPr="00911F41" w:rsidRDefault="000D18B4" w:rsidP="000D18B4">
      <w:pPr>
        <w:keepNext/>
        <w:keepLines/>
        <w:spacing w:before="40" w:after="0"/>
        <w:outlineLvl w:val="1"/>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lastRenderedPageBreak/>
        <w:t>Private right-sizing arrangements</w:t>
      </w:r>
    </w:p>
    <w:p w14:paraId="05393237" w14:textId="4DC1529F" w:rsidR="000D18B4" w:rsidRDefault="000D18B4" w:rsidP="000D18B4">
      <w:pPr>
        <w:spacing w:after="0"/>
      </w:pPr>
      <w:r>
        <w:t xml:space="preserve">At the community consultation sessions, older people expressed interest in private arrangements </w:t>
      </w:r>
      <w:r w:rsidR="00120FF7">
        <w:t xml:space="preserve">between </w:t>
      </w:r>
      <w:r>
        <w:t xml:space="preserve">multiple older people. This could involve </w:t>
      </w:r>
      <w:r w:rsidR="00120FF7">
        <w:t>various types of</w:t>
      </w:r>
      <w:r>
        <w:t xml:space="preserve"> arrangements</w:t>
      </w:r>
      <w:r w:rsidR="00120FF7">
        <w:t>,</w:t>
      </w:r>
      <w:r>
        <w:t xml:space="preserve"> including:</w:t>
      </w:r>
    </w:p>
    <w:p w14:paraId="7E481E4D" w14:textId="288F7C7A" w:rsidR="000D18B4" w:rsidRDefault="000D18B4" w:rsidP="004363AF">
      <w:pPr>
        <w:pStyle w:val="ListParagraph"/>
        <w:numPr>
          <w:ilvl w:val="0"/>
          <w:numId w:val="25"/>
        </w:numPr>
      </w:pPr>
      <w:r>
        <w:t>one home being occupied by several old</w:t>
      </w:r>
      <w:r w:rsidR="00E2759B">
        <w:t>er</w:t>
      </w:r>
      <w:r>
        <w:t xml:space="preserve"> people</w:t>
      </w:r>
      <w:r w:rsidR="00120FF7">
        <w:t>.</w:t>
      </w:r>
    </w:p>
    <w:p w14:paraId="2FBF6443" w14:textId="5DB75DC5" w:rsidR="000D18B4" w:rsidRDefault="000D18B4" w:rsidP="004363AF">
      <w:pPr>
        <w:pStyle w:val="ListParagraph"/>
        <w:numPr>
          <w:ilvl w:val="0"/>
          <w:numId w:val="25"/>
        </w:numPr>
      </w:pPr>
      <w:r>
        <w:t>purchas</w:t>
      </w:r>
      <w:r w:rsidR="00120FF7">
        <w:t>ing a</w:t>
      </w:r>
      <w:r>
        <w:t xml:space="preserve"> property as joint tenants or tenants in common.  </w:t>
      </w:r>
    </w:p>
    <w:p w14:paraId="5C763495" w14:textId="77777777" w:rsidR="000D18B4" w:rsidRDefault="000D18B4" w:rsidP="004363AF">
      <w:pPr>
        <w:pStyle w:val="ListParagraph"/>
        <w:numPr>
          <w:ilvl w:val="0"/>
          <w:numId w:val="25"/>
        </w:numPr>
      </w:pPr>
      <w:r>
        <w:t xml:space="preserve">a self-planned development where a group of older people acquire a site and build individual residences.  </w:t>
      </w:r>
    </w:p>
    <w:p w14:paraId="593EC43D" w14:textId="5647A9D4" w:rsidR="000D18B4" w:rsidRDefault="000D18B4" w:rsidP="00911F41">
      <w:r w:rsidRPr="004C1AE3">
        <w:t xml:space="preserve">A private </w:t>
      </w:r>
      <w:r>
        <w:t>right-sizing</w:t>
      </w:r>
      <w:r w:rsidRPr="004C1AE3">
        <w:t xml:space="preserve"> arrangement could also include </w:t>
      </w:r>
      <w:r w:rsidR="008764AB">
        <w:t>use of a ‘granny flat’.</w:t>
      </w:r>
      <w:r w:rsidR="00E2759B">
        <w:t xml:space="preserve"> </w:t>
      </w:r>
      <w:r>
        <w:t xml:space="preserve">Granny flat arrangements </w:t>
      </w:r>
      <w:r w:rsidR="008764AB">
        <w:t>may be appropriate</w:t>
      </w:r>
      <w:r>
        <w:t xml:space="preserve"> for parents of children with a disability living in the same home. A </w:t>
      </w:r>
      <w:r w:rsidRPr="00911F41">
        <w:rPr>
          <w:lang w:val="en-US"/>
        </w:rPr>
        <w:t>young</w:t>
      </w:r>
      <w:r>
        <w:t xml:space="preserve"> person could liv</w:t>
      </w:r>
      <w:r w:rsidR="00E66302">
        <w:t>e</w:t>
      </w:r>
      <w:r>
        <w:t xml:space="preserve"> independently in a granny flat </w:t>
      </w:r>
      <w:r w:rsidR="00E66302">
        <w:t>and remain</w:t>
      </w:r>
      <w:r>
        <w:t xml:space="preserve"> close to their carer for mutual support.</w:t>
      </w:r>
    </w:p>
    <w:p w14:paraId="5C0A4C8A" w14:textId="7EEB6CD0" w:rsidR="000D18B4" w:rsidRDefault="000D18B4" w:rsidP="00911F41">
      <w:pPr>
        <w:rPr>
          <w:lang w:val="en-US"/>
        </w:rPr>
      </w:pPr>
      <w:r w:rsidRPr="00911F41">
        <w:t>Granny</w:t>
      </w:r>
      <w:r>
        <w:rPr>
          <w:lang w:val="en-US"/>
        </w:rPr>
        <w:t xml:space="preserve"> flat arrangements have become more popular in some local government areas</w:t>
      </w:r>
      <w:r w:rsidR="00390491">
        <w:rPr>
          <w:lang w:val="en-US"/>
        </w:rPr>
        <w:t>,</w:t>
      </w:r>
      <w:r>
        <w:rPr>
          <w:lang w:val="en-US"/>
        </w:rPr>
        <w:t xml:space="preserve"> such as the Fraser Coast Regional Council</w:t>
      </w:r>
      <w:r w:rsidR="00390491">
        <w:rPr>
          <w:lang w:val="en-US"/>
        </w:rPr>
        <w:t>,</w:t>
      </w:r>
      <w:r>
        <w:rPr>
          <w:lang w:val="en-US"/>
        </w:rPr>
        <w:t xml:space="preserve"> which offer infrastructure charge exemptions on the construction of granny </w:t>
      </w:r>
      <w:r w:rsidRPr="00911F41">
        <w:t>flats</w:t>
      </w:r>
      <w:r>
        <w:rPr>
          <w:lang w:val="en-US"/>
        </w:rPr>
        <w:t xml:space="preserve"> as an incentive to provide affordable housing for older people.</w:t>
      </w:r>
    </w:p>
    <w:p w14:paraId="0505DD54" w14:textId="008DBC31" w:rsidR="000D18B4" w:rsidRDefault="000D18B4" w:rsidP="000D18B4">
      <w:pPr>
        <w:spacing w:after="0"/>
      </w:pPr>
      <w:r>
        <w:t xml:space="preserve">It was </w:t>
      </w:r>
      <w:r w:rsidRPr="00911F41">
        <w:rPr>
          <w:lang w:val="en-US"/>
        </w:rPr>
        <w:t>brought</w:t>
      </w:r>
      <w:r>
        <w:t xml:space="preserve"> to the attention of the Taskforce that many disputes between family members have arisen where </w:t>
      </w:r>
      <w:r w:rsidR="00390491">
        <w:t xml:space="preserve">an </w:t>
      </w:r>
      <w:r>
        <w:t xml:space="preserve">older person </w:t>
      </w:r>
      <w:r w:rsidR="00390491">
        <w:t xml:space="preserve">who </w:t>
      </w:r>
      <w:r>
        <w:t>originally owned the property was part</w:t>
      </w:r>
      <w:r w:rsidR="00390491">
        <w:t xml:space="preserve"> of</w:t>
      </w:r>
      <w:r>
        <w:t xml:space="preserve"> a granny flat arrangement</w:t>
      </w:r>
      <w:r w:rsidR="00390491">
        <w:t xml:space="preserve">. The </w:t>
      </w:r>
      <w:r>
        <w:t xml:space="preserve">practice </w:t>
      </w:r>
      <w:r w:rsidR="00390491">
        <w:t xml:space="preserve">has </w:t>
      </w:r>
      <w:r>
        <w:t xml:space="preserve">being linked to elder abuse. The problems </w:t>
      </w:r>
      <w:r w:rsidR="00390491">
        <w:t xml:space="preserve">seem to stem </w:t>
      </w:r>
      <w:r>
        <w:t>from:</w:t>
      </w:r>
    </w:p>
    <w:p w14:paraId="4D088EDF" w14:textId="77777777" w:rsidR="000D18B4" w:rsidRDefault="000D18B4" w:rsidP="004363AF">
      <w:pPr>
        <w:pStyle w:val="ListParagraph"/>
        <w:numPr>
          <w:ilvl w:val="0"/>
          <w:numId w:val="20"/>
        </w:numPr>
      </w:pPr>
      <w:r>
        <w:t>few laws existing around granny flat arrangements</w:t>
      </w:r>
    </w:p>
    <w:p w14:paraId="5C5DD30F" w14:textId="77777777" w:rsidR="000D18B4" w:rsidRDefault="000D18B4" w:rsidP="004363AF">
      <w:pPr>
        <w:pStyle w:val="ListParagraph"/>
        <w:numPr>
          <w:ilvl w:val="0"/>
          <w:numId w:val="20"/>
        </w:numPr>
      </w:pPr>
      <w:r w:rsidRPr="004C1AE3">
        <w:t>formalising such arrangements is highly problematic, especially in relation to securing protection for the assets of older people</w:t>
      </w:r>
    </w:p>
    <w:p w14:paraId="1676BC52" w14:textId="58795BC5" w:rsidR="000D18B4" w:rsidRDefault="000D18B4" w:rsidP="004363AF">
      <w:pPr>
        <w:pStyle w:val="ListParagraph"/>
        <w:numPr>
          <w:ilvl w:val="0"/>
          <w:numId w:val="20"/>
        </w:numPr>
      </w:pPr>
      <w:r>
        <w:t xml:space="preserve">interaction with Centrelink around granny flat arrangements </w:t>
      </w:r>
      <w:r w:rsidR="00390491">
        <w:t xml:space="preserve">is </w:t>
      </w:r>
      <w:r>
        <w:t>difficult</w:t>
      </w:r>
    </w:p>
    <w:p w14:paraId="64234F68" w14:textId="74A26FA9" w:rsidR="000D18B4" w:rsidRDefault="000D18B4" w:rsidP="004363AF">
      <w:pPr>
        <w:pStyle w:val="ListParagraph"/>
        <w:numPr>
          <w:ilvl w:val="0"/>
          <w:numId w:val="20"/>
        </w:numPr>
      </w:pPr>
      <w:r>
        <w:t>exiting such an arrangement</w:t>
      </w:r>
      <w:r w:rsidR="00390491">
        <w:t>,</w:t>
      </w:r>
      <w:r>
        <w:t xml:space="preserve"> when funds are tied up in the house</w:t>
      </w:r>
      <w:r w:rsidR="00390491">
        <w:t>,</w:t>
      </w:r>
      <w:r>
        <w:t xml:space="preserve"> are problematic.</w:t>
      </w:r>
      <w:r>
        <w:rPr>
          <w:rStyle w:val="FootnoteReference"/>
        </w:rPr>
        <w:footnoteReference w:id="64"/>
      </w:r>
      <w:r>
        <w:t xml:space="preserve"> </w:t>
      </w:r>
    </w:p>
    <w:p w14:paraId="39AA3CC5" w14:textId="57A9E413" w:rsidR="000D18B4" w:rsidRDefault="000D18B4" w:rsidP="000D18B4">
      <w:r>
        <w:t>Private arrangements need to be supported by legislation and support</w:t>
      </w:r>
      <w:r w:rsidR="00390491">
        <w:t xml:space="preserve"> arrangement</w:t>
      </w:r>
      <w:r>
        <w:t xml:space="preserve">s that protect owners and residents in the event </w:t>
      </w:r>
      <w:r w:rsidR="00390491">
        <w:t xml:space="preserve">that </w:t>
      </w:r>
      <w:r>
        <w:t>things go wrong or a party want</w:t>
      </w:r>
      <w:r w:rsidR="00390491">
        <w:t>s</w:t>
      </w:r>
      <w:r>
        <w:t xml:space="preserve"> to end the </w:t>
      </w:r>
      <w:r w:rsidR="00390491">
        <w:t>arrangement</w:t>
      </w:r>
      <w:r>
        <w:t>.</w:t>
      </w:r>
    </w:p>
    <w:p w14:paraId="52EA324C" w14:textId="77777777" w:rsidR="000D18B4" w:rsidRPr="00911F41" w:rsidRDefault="000D18B4" w:rsidP="000D18B4">
      <w:pPr>
        <w:spacing w:after="0"/>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t>NORCs</w:t>
      </w:r>
    </w:p>
    <w:p w14:paraId="7D987A8D" w14:textId="3FB1BB9F" w:rsidR="000D18B4" w:rsidRDefault="000D18B4" w:rsidP="000D18B4">
      <w:r>
        <w:t>A</w:t>
      </w:r>
      <w:r w:rsidRPr="004C1AE3">
        <w:t xml:space="preserve"> recent phenomenon in the United States is that of </w:t>
      </w:r>
      <w:r w:rsidR="00390491">
        <w:t>‘</w:t>
      </w:r>
      <w:r w:rsidRPr="004C1AE3">
        <w:t>naturally occurring retirement communities</w:t>
      </w:r>
      <w:r w:rsidR="00390491">
        <w:t>’</w:t>
      </w:r>
      <w:r w:rsidRPr="004C1AE3">
        <w:t xml:space="preserve">, or NORCs. A NORC is a community that was not originally built for </w:t>
      </w:r>
      <w:r>
        <w:t>older people</w:t>
      </w:r>
      <w:r w:rsidRPr="004C1AE3">
        <w:t xml:space="preserve">, but </w:t>
      </w:r>
      <w:r w:rsidR="00390491">
        <w:t>becomes</w:t>
      </w:r>
      <w:r w:rsidRPr="004C1AE3">
        <w:t xml:space="preserve"> home </w:t>
      </w:r>
      <w:r w:rsidR="00390491">
        <w:t>to</w:t>
      </w:r>
      <w:r w:rsidR="00390491" w:rsidRPr="004C1AE3">
        <w:t xml:space="preserve"> </w:t>
      </w:r>
      <w:r w:rsidRPr="004C1AE3">
        <w:t>a significant proportion of older residents. NORCs occur as older people age in place, move into a community or where young people move away leaving sizeable proportions of older people. NORCs can be housing-based (people within a building or a cluster of buildings) or neighbourhood</w:t>
      </w:r>
      <w:r w:rsidR="00390491">
        <w:t>-</w:t>
      </w:r>
      <w:r w:rsidRPr="004C1AE3">
        <w:t xml:space="preserve">based (typically detached or semi-detached houses in an age-friendly community).  </w:t>
      </w:r>
    </w:p>
    <w:p w14:paraId="5DA27778" w14:textId="46D0632C" w:rsidR="000D18B4" w:rsidRDefault="000D18B4" w:rsidP="000D18B4">
      <w:r>
        <w:t>A</w:t>
      </w:r>
      <w:r w:rsidRPr="004C1AE3">
        <w:t xml:space="preserve"> NORC occurs where older people combine their skills and energy to influence the delivery of services in their area to replicate many of the advantages of intentional retirement living. Shared or collectively organised services can include home repair, social activities, volunteer support and discounts at local merchants. NORCs have become more commonplace as the internet enables people to communicate and organise</w:t>
      </w:r>
      <w:r w:rsidR="00390491" w:rsidRPr="00390491">
        <w:t xml:space="preserve"> </w:t>
      </w:r>
      <w:r w:rsidR="00390491" w:rsidRPr="004C1AE3">
        <w:t>collectively</w:t>
      </w:r>
      <w:r w:rsidRPr="004C1AE3">
        <w:t xml:space="preserve">. NORCs </w:t>
      </w:r>
      <w:r>
        <w:t xml:space="preserve">can </w:t>
      </w:r>
      <w:r w:rsidR="00390491">
        <w:t xml:space="preserve">also </w:t>
      </w:r>
      <w:r>
        <w:t xml:space="preserve">be </w:t>
      </w:r>
      <w:r w:rsidRPr="004C1AE3">
        <w:t>supported by a network established by a</w:t>
      </w:r>
      <w:r>
        <w:t xml:space="preserve"> non-government organisation</w:t>
      </w:r>
      <w:r w:rsidR="00390491">
        <w:t>. E</w:t>
      </w:r>
      <w:r>
        <w:t xml:space="preserve">xperience in the </w:t>
      </w:r>
      <w:r w:rsidRPr="004C1AE3">
        <w:t>U</w:t>
      </w:r>
      <w:r>
        <w:t xml:space="preserve">nited </w:t>
      </w:r>
      <w:r w:rsidRPr="004C1AE3">
        <w:t>S</w:t>
      </w:r>
      <w:r>
        <w:t>tates</w:t>
      </w:r>
      <w:r w:rsidRPr="004C1AE3">
        <w:t xml:space="preserve"> is that </w:t>
      </w:r>
      <w:r w:rsidR="00390491">
        <w:t xml:space="preserve">most </w:t>
      </w:r>
      <w:r w:rsidRPr="004C1AE3">
        <w:t>NORCs are part</w:t>
      </w:r>
      <w:r w:rsidR="00390491">
        <w:t>ially</w:t>
      </w:r>
      <w:r w:rsidRPr="004C1AE3">
        <w:t xml:space="preserve"> member-funded </w:t>
      </w:r>
      <w:r w:rsidR="00390491">
        <w:t>with</w:t>
      </w:r>
      <w:r w:rsidRPr="004C1AE3">
        <w:t xml:space="preserve"> some outside financial assistance.</w:t>
      </w:r>
    </w:p>
    <w:p w14:paraId="3CCE275D" w14:textId="531CA182" w:rsidR="000D18B4" w:rsidRDefault="000D18B4" w:rsidP="000D18B4">
      <w:r w:rsidRPr="004C1AE3">
        <w:t xml:space="preserve">Alternatively known as ‘virtual retirement villages’, the first of these has been established in Australia.  The Waverton Hub in northern Sydney </w:t>
      </w:r>
      <w:r w:rsidR="00390491">
        <w:t>was</w:t>
      </w:r>
      <w:r w:rsidRPr="004C1AE3">
        <w:t xml:space="preserve"> established to help local </w:t>
      </w:r>
      <w:r>
        <w:t>older people</w:t>
      </w:r>
      <w:r w:rsidRPr="004C1AE3">
        <w:t xml:space="preserve"> stay in their own homes for longer. Partly funded by grants and operated using a customised website, the hub will provide members with social, learning and fitness activities, as well as help with day</w:t>
      </w:r>
      <w:r w:rsidR="00390491">
        <w:t>-</w:t>
      </w:r>
      <w:r w:rsidRPr="004C1AE3">
        <w:t>to</w:t>
      </w:r>
      <w:r w:rsidR="00390491">
        <w:t>-</w:t>
      </w:r>
      <w:r w:rsidRPr="004C1AE3">
        <w:t xml:space="preserve">day tasks. </w:t>
      </w:r>
    </w:p>
    <w:p w14:paraId="4BC8DC6C" w14:textId="4505F062" w:rsidR="000D18B4" w:rsidRPr="00911F41" w:rsidRDefault="000D18B4" w:rsidP="000D18B4">
      <w:pPr>
        <w:spacing w:after="0"/>
        <w:rPr>
          <w:rFonts w:asciiTheme="majorHAnsi" w:eastAsiaTheme="majorEastAsia" w:hAnsiTheme="majorHAnsi" w:cstheme="majorBidi"/>
          <w:color w:val="365F91" w:themeColor="accent1" w:themeShade="BF"/>
          <w:sz w:val="24"/>
          <w:szCs w:val="24"/>
        </w:rPr>
      </w:pPr>
      <w:r w:rsidRPr="00911F41">
        <w:rPr>
          <w:rFonts w:asciiTheme="majorHAnsi" w:eastAsiaTheme="majorEastAsia" w:hAnsiTheme="majorHAnsi" w:cstheme="majorBidi"/>
          <w:color w:val="365F91" w:themeColor="accent1" w:themeShade="BF"/>
          <w:sz w:val="24"/>
          <w:szCs w:val="24"/>
        </w:rPr>
        <w:t xml:space="preserve">Rental </w:t>
      </w:r>
      <w:r w:rsidR="00390491" w:rsidRPr="00911F41">
        <w:rPr>
          <w:rFonts w:asciiTheme="majorHAnsi" w:eastAsiaTheme="majorEastAsia" w:hAnsiTheme="majorHAnsi" w:cstheme="majorBidi"/>
          <w:color w:val="365F91" w:themeColor="accent1" w:themeShade="BF"/>
          <w:sz w:val="24"/>
          <w:szCs w:val="24"/>
        </w:rPr>
        <w:t>a</w:t>
      </w:r>
      <w:r w:rsidRPr="00911F41">
        <w:rPr>
          <w:rFonts w:asciiTheme="majorHAnsi" w:eastAsiaTheme="majorEastAsia" w:hAnsiTheme="majorHAnsi" w:cstheme="majorBidi"/>
          <w:color w:val="365F91" w:themeColor="accent1" w:themeShade="BF"/>
          <w:sz w:val="24"/>
          <w:szCs w:val="24"/>
        </w:rPr>
        <w:t xml:space="preserve">ffordability </w:t>
      </w:r>
      <w:r w:rsidR="00390491" w:rsidRPr="00911F41">
        <w:rPr>
          <w:rFonts w:asciiTheme="majorHAnsi" w:eastAsiaTheme="majorEastAsia" w:hAnsiTheme="majorHAnsi" w:cstheme="majorBidi"/>
          <w:color w:val="365F91" w:themeColor="accent1" w:themeShade="BF"/>
          <w:sz w:val="24"/>
          <w:szCs w:val="24"/>
        </w:rPr>
        <w:t>s</w:t>
      </w:r>
      <w:r w:rsidRPr="00911F41">
        <w:rPr>
          <w:rFonts w:asciiTheme="majorHAnsi" w:eastAsiaTheme="majorEastAsia" w:hAnsiTheme="majorHAnsi" w:cstheme="majorBidi"/>
          <w:color w:val="365F91" w:themeColor="accent1" w:themeShade="BF"/>
          <w:sz w:val="24"/>
          <w:szCs w:val="24"/>
        </w:rPr>
        <w:t>chemes</w:t>
      </w:r>
    </w:p>
    <w:p w14:paraId="5932E9FD" w14:textId="5591F273" w:rsidR="00F50DD4" w:rsidRDefault="000D18B4" w:rsidP="000D18B4">
      <w:r w:rsidRPr="00E01853">
        <w:t xml:space="preserve">The Taskforce </w:t>
      </w:r>
      <w:r w:rsidR="0068678F">
        <w:t>heard</w:t>
      </w:r>
      <w:r w:rsidRPr="004C1AE3">
        <w:t xml:space="preserve"> </w:t>
      </w:r>
      <w:r w:rsidRPr="00E01853">
        <w:t>that the National Rental Affordability Scheme</w:t>
      </w:r>
      <w:r w:rsidRPr="004C1AE3">
        <w:t xml:space="preserve"> (</w:t>
      </w:r>
      <w:r w:rsidRPr="00E01853">
        <w:t>NRAS</w:t>
      </w:r>
      <w:r w:rsidRPr="004C1AE3">
        <w:t>)</w:t>
      </w:r>
      <w:r w:rsidRPr="00E01853">
        <w:t xml:space="preserve"> provide</w:t>
      </w:r>
      <w:r w:rsidR="00F50DD4">
        <w:t>s</w:t>
      </w:r>
      <w:r w:rsidRPr="00E01853">
        <w:t xml:space="preserve"> low cost rental housing for </w:t>
      </w:r>
      <w:r w:rsidRPr="004C1AE3">
        <w:t>older people</w:t>
      </w:r>
      <w:r w:rsidRPr="00E01853">
        <w:t>. NRAS</w:t>
      </w:r>
      <w:r w:rsidRPr="004C1AE3">
        <w:t xml:space="preserve"> </w:t>
      </w:r>
      <w:r w:rsidR="00F50DD4">
        <w:t>is</w:t>
      </w:r>
      <w:r w:rsidR="00F50DD4" w:rsidRPr="00E01853">
        <w:t xml:space="preserve"> </w:t>
      </w:r>
      <w:r w:rsidRPr="00E01853">
        <w:t xml:space="preserve">a partnership between the Australian Government and </w:t>
      </w:r>
      <w:r w:rsidR="0068678F">
        <w:t>s</w:t>
      </w:r>
      <w:r w:rsidRPr="00E01853">
        <w:t xml:space="preserve">tates and </w:t>
      </w:r>
      <w:r w:rsidR="0068678F">
        <w:lastRenderedPageBreak/>
        <w:t>t</w:t>
      </w:r>
      <w:r w:rsidRPr="00E01853">
        <w:t>erritories to invest in affordable rental housing. NRAS commenced in 2008 to address the shortage of affordable rental housing by offering financial incentives to the business sector and community organisations to build and rent dwellings to low and moderate income households at a rate at least 20 per cent below market value rent.</w:t>
      </w:r>
      <w:r w:rsidRPr="006075F3">
        <w:t xml:space="preserve"> </w:t>
      </w:r>
    </w:p>
    <w:p w14:paraId="33BF23D1" w14:textId="5B0F1904" w:rsidR="000D18B4" w:rsidRDefault="000D18B4" w:rsidP="000D18B4">
      <w:pPr>
        <w:rPr>
          <w:highlight w:val="yellow"/>
        </w:rPr>
      </w:pPr>
    </w:p>
    <w:p w14:paraId="46CDD162" w14:textId="172BAEDB" w:rsidR="000D18B4" w:rsidRDefault="000D18B4" w:rsidP="000D18B4">
      <w:pPr>
        <w:pStyle w:val="Heading2"/>
      </w:pPr>
      <w:bookmarkStart w:id="1628" w:name="_Toc460257514"/>
      <w:r>
        <w:t>Community attitudes</w:t>
      </w:r>
      <w:bookmarkEnd w:id="1628"/>
    </w:p>
    <w:tbl>
      <w:tblPr>
        <w:tblStyle w:val="TableGrid"/>
        <w:tblW w:w="0" w:type="auto"/>
        <w:tblLook w:val="04A0" w:firstRow="1" w:lastRow="0" w:firstColumn="1" w:lastColumn="0" w:noHBand="0" w:noVBand="1"/>
      </w:tblPr>
      <w:tblGrid>
        <w:gridCol w:w="9322"/>
      </w:tblGrid>
      <w:tr w:rsidR="000D18B4" w14:paraId="5D641F1B" w14:textId="77777777" w:rsidTr="00BA3344">
        <w:tc>
          <w:tcPr>
            <w:tcW w:w="9548" w:type="dxa"/>
          </w:tcPr>
          <w:p w14:paraId="60E668E0" w14:textId="77777777" w:rsidR="000D18B4" w:rsidRDefault="000D18B4" w:rsidP="00BA3344">
            <w:pPr>
              <w:pStyle w:val="Boxheading"/>
            </w:pPr>
            <w:r>
              <w:t xml:space="preserve">Issues </w:t>
            </w:r>
          </w:p>
          <w:p w14:paraId="02525622" w14:textId="77777777" w:rsidR="000D18B4" w:rsidRPr="00ED7431" w:rsidRDefault="000D18B4" w:rsidP="00911F41">
            <w:pPr>
              <w:numPr>
                <w:ilvl w:val="0"/>
                <w:numId w:val="7"/>
              </w:numPr>
              <w:spacing w:after="0" w:line="240" w:lineRule="auto"/>
              <w:contextualSpacing/>
            </w:pPr>
            <w:r>
              <w:t>Community attitudes can result in opposition to the development of age-specific housing for older people.</w:t>
            </w:r>
          </w:p>
          <w:p w14:paraId="2BBF1A63" w14:textId="77777777" w:rsidR="000D18B4" w:rsidRDefault="000D18B4" w:rsidP="00BA3344">
            <w:pPr>
              <w:keepNext/>
              <w:keepLines/>
              <w:spacing w:before="40"/>
              <w:outlineLvl w:val="1"/>
              <w:rPr>
                <w:rFonts w:asciiTheme="majorHAnsi" w:eastAsiaTheme="majorEastAsia" w:hAnsiTheme="majorHAnsi" w:cstheme="majorBidi"/>
                <w:b/>
                <w:sz w:val="26"/>
                <w:szCs w:val="26"/>
              </w:rPr>
            </w:pPr>
          </w:p>
        </w:tc>
      </w:tr>
    </w:tbl>
    <w:p w14:paraId="650A492A" w14:textId="77777777" w:rsidR="000D18B4" w:rsidRDefault="000D18B4" w:rsidP="000D18B4">
      <w:pPr>
        <w:keepNext/>
        <w:keepLines/>
        <w:spacing w:before="40" w:after="0"/>
        <w:outlineLvl w:val="1"/>
        <w:rPr>
          <w:rFonts w:asciiTheme="majorHAnsi" w:eastAsiaTheme="majorEastAsia" w:hAnsiTheme="majorHAnsi" w:cstheme="majorBidi"/>
          <w:b/>
          <w:sz w:val="26"/>
          <w:szCs w:val="26"/>
        </w:rPr>
      </w:pPr>
    </w:p>
    <w:p w14:paraId="56A5C1D9" w14:textId="25EEC8F8" w:rsidR="000D18B4" w:rsidRPr="000F0B20" w:rsidRDefault="000D18B4" w:rsidP="000D18B4">
      <w:r w:rsidRPr="000F0B20">
        <w:t xml:space="preserve">The Taskforce heard that community attitudes towards </w:t>
      </w:r>
      <w:r>
        <w:t>aged-care and social housing</w:t>
      </w:r>
      <w:r w:rsidRPr="000F0B20">
        <w:t xml:space="preserve">, or perceptions about </w:t>
      </w:r>
      <w:r>
        <w:t>the design of these housing types</w:t>
      </w:r>
      <w:r w:rsidRPr="000F0B20">
        <w:t xml:space="preserve">, </w:t>
      </w:r>
      <w:r>
        <w:t>has impacted</w:t>
      </w:r>
      <w:r w:rsidRPr="000F0B20">
        <w:t xml:space="preserve"> planning decisions</w:t>
      </w:r>
      <w:r>
        <w:t>.</w:t>
      </w:r>
      <w:r w:rsidRPr="000F0B20">
        <w:t xml:space="preserve"> There are perceptions that property values will be affected and that neighbourhoods will become institutionalised. </w:t>
      </w:r>
      <w:r>
        <w:t>Community</w:t>
      </w:r>
      <w:r w:rsidRPr="000F0B20">
        <w:t xml:space="preserve"> perception</w:t>
      </w:r>
      <w:r>
        <w:t>s are</w:t>
      </w:r>
      <w:r w:rsidRPr="000F0B20">
        <w:t xml:space="preserve"> that housing for older people i</w:t>
      </w:r>
      <w:r>
        <w:t>s</w:t>
      </w:r>
      <w:r w:rsidRPr="000F0B20">
        <w:t xml:space="preserve"> institutional</w:t>
      </w:r>
      <w:r>
        <w:t xml:space="preserve">, </w:t>
      </w:r>
      <w:r w:rsidR="0068678F">
        <w:t xml:space="preserve">separated (often </w:t>
      </w:r>
      <w:r>
        <w:t>gated</w:t>
      </w:r>
      <w:r w:rsidR="0068678F">
        <w:t>)</w:t>
      </w:r>
      <w:r>
        <w:t xml:space="preserve"> </w:t>
      </w:r>
      <w:r w:rsidRPr="000F0B20">
        <w:t>and</w:t>
      </w:r>
      <w:r>
        <w:t xml:space="preserve"> poorly designed</w:t>
      </w:r>
      <w:r w:rsidRPr="000F0B20">
        <w:t>.</w:t>
      </w:r>
      <w:r>
        <w:t xml:space="preserve"> The Taskforce also heard that some developers have limited community engagement and/or communication strategies and development designs may not reflect local culture or expectations.</w:t>
      </w:r>
    </w:p>
    <w:p w14:paraId="300A89C2" w14:textId="21ECE6F4" w:rsidR="000D18B4" w:rsidRDefault="0068678F" w:rsidP="000D18B4">
      <w:r>
        <w:t>The reality is that o</w:t>
      </w:r>
      <w:r w:rsidR="000D18B4" w:rsidRPr="000F0B20">
        <w:t xml:space="preserve">lder </w:t>
      </w:r>
      <w:r>
        <w:t>Queenslanders</w:t>
      </w:r>
      <w:r w:rsidRPr="000F0B20">
        <w:t xml:space="preserve"> </w:t>
      </w:r>
      <w:r w:rsidR="000D18B4" w:rsidRPr="000F0B20">
        <w:t xml:space="preserve">as a group are healthier, wealthier and have higher aspirations than previous generations of older people. </w:t>
      </w:r>
      <w:r w:rsidR="000D18B4">
        <w:t>A</w:t>
      </w:r>
      <w:r w:rsidR="000D18B4" w:rsidRPr="000F0B20">
        <w:t xml:space="preserve">ttitudes towards older people have been shifting for some time </w:t>
      </w:r>
      <w:r>
        <w:t>from a ‘</w:t>
      </w:r>
      <w:r w:rsidR="000D18B4" w:rsidRPr="000F0B20">
        <w:t>sympathetic and paternalistic</w:t>
      </w:r>
      <w:r>
        <w:t xml:space="preserve">’ </w:t>
      </w:r>
      <w:r w:rsidR="000D18B4" w:rsidRPr="000F0B20">
        <w:t>view of old</w:t>
      </w:r>
      <w:r>
        <w:t>er</w:t>
      </w:r>
      <w:r w:rsidR="000D18B4" w:rsidRPr="000F0B20">
        <w:t xml:space="preserve"> people as </w:t>
      </w:r>
      <w:r>
        <w:t>‘</w:t>
      </w:r>
      <w:r w:rsidR="000D18B4" w:rsidRPr="000F0B20">
        <w:t>needy and deserving</w:t>
      </w:r>
      <w:r>
        <w:t>’</w:t>
      </w:r>
      <w:r w:rsidR="000D18B4" w:rsidRPr="000F0B20">
        <w:t xml:space="preserve"> to one where they </w:t>
      </w:r>
      <w:r>
        <w:t>can be</w:t>
      </w:r>
      <w:r w:rsidRPr="000F0B20">
        <w:t xml:space="preserve"> </w:t>
      </w:r>
      <w:r w:rsidR="000D18B4" w:rsidRPr="000F0B20">
        <w:t xml:space="preserve">seen as </w:t>
      </w:r>
      <w:r>
        <w:t>‘</w:t>
      </w:r>
      <w:r w:rsidR="000D18B4" w:rsidRPr="000F0B20">
        <w:t>a bit of a burden</w:t>
      </w:r>
      <w:r>
        <w:t>’</w:t>
      </w:r>
      <w:r w:rsidR="000D18B4" w:rsidRPr="000F0B20">
        <w:t>. Changing these attitudes will depend on a whole-of-life view of ageing and an understanding that investing in the health and well-being of ageing people benefits everyone in society.</w:t>
      </w:r>
      <w:r w:rsidR="000D18B4" w:rsidRPr="000F0B20">
        <w:rPr>
          <w:rStyle w:val="FootnoteReference"/>
        </w:rPr>
        <w:footnoteReference w:id="65"/>
      </w:r>
      <w:r w:rsidR="000D18B4">
        <w:t xml:space="preserve"> </w:t>
      </w:r>
    </w:p>
    <w:p w14:paraId="1F53AED8" w14:textId="7666FAB0" w:rsidR="000D18B4" w:rsidRDefault="00A54C64" w:rsidP="000D18B4">
      <w:r>
        <w:br w:type="column"/>
      </w:r>
    </w:p>
    <w:p w14:paraId="6867665D" w14:textId="7128A0B0" w:rsidR="000D18B4" w:rsidRDefault="000D18B4" w:rsidP="000D18B4">
      <w:pPr>
        <w:pStyle w:val="Heading2"/>
      </w:pPr>
      <w:bookmarkStart w:id="1629" w:name="_Toc460257515"/>
      <w:r>
        <w:t>Regional and remote communities</w:t>
      </w:r>
      <w:bookmarkEnd w:id="1629"/>
    </w:p>
    <w:tbl>
      <w:tblPr>
        <w:tblStyle w:val="TableGrid"/>
        <w:tblW w:w="0" w:type="auto"/>
        <w:tblLook w:val="04A0" w:firstRow="1" w:lastRow="0" w:firstColumn="1" w:lastColumn="0" w:noHBand="0" w:noVBand="1"/>
      </w:tblPr>
      <w:tblGrid>
        <w:gridCol w:w="9322"/>
      </w:tblGrid>
      <w:tr w:rsidR="000D18B4" w14:paraId="08796423" w14:textId="77777777" w:rsidTr="00BA3344">
        <w:tc>
          <w:tcPr>
            <w:tcW w:w="9548" w:type="dxa"/>
          </w:tcPr>
          <w:p w14:paraId="61CEEC14" w14:textId="77777777" w:rsidR="000D18B4" w:rsidRDefault="000D18B4" w:rsidP="00BA3344">
            <w:pPr>
              <w:pStyle w:val="Boxheading"/>
            </w:pPr>
            <w:r>
              <w:t xml:space="preserve">Issues </w:t>
            </w:r>
          </w:p>
          <w:p w14:paraId="5A43A37D" w14:textId="63FB80B6" w:rsidR="000D18B4" w:rsidRDefault="000D18B4" w:rsidP="00911F41">
            <w:pPr>
              <w:pStyle w:val="ListParagraph"/>
              <w:numPr>
                <w:ilvl w:val="0"/>
                <w:numId w:val="8"/>
              </w:numPr>
              <w:spacing w:after="0" w:line="240" w:lineRule="auto"/>
            </w:pPr>
            <w:r>
              <w:t>There are fewer housing options in regional and remote areas of Queensland</w:t>
            </w:r>
            <w:r w:rsidR="0068678F">
              <w:t>.</w:t>
            </w:r>
            <w:r>
              <w:t xml:space="preserve">  </w:t>
            </w:r>
          </w:p>
          <w:p w14:paraId="6FE3E5A6" w14:textId="70AF459E" w:rsidR="000D18B4" w:rsidRDefault="00F50DD4" w:rsidP="00911F41">
            <w:pPr>
              <w:pStyle w:val="ListParagraph"/>
              <w:numPr>
                <w:ilvl w:val="0"/>
                <w:numId w:val="8"/>
              </w:numPr>
              <w:spacing w:after="0" w:line="240" w:lineRule="auto"/>
            </w:pPr>
            <w:r>
              <w:t>Often the d</w:t>
            </w:r>
            <w:r w:rsidR="000D18B4">
              <w:t xml:space="preserve">elivery of housing to regional and remote communities is </w:t>
            </w:r>
            <w:r>
              <w:t>not</w:t>
            </w:r>
            <w:r w:rsidR="000D18B4">
              <w:t xml:space="preserve"> financially viable</w:t>
            </w:r>
            <w:r w:rsidR="0068678F">
              <w:t>.</w:t>
            </w:r>
            <w:r w:rsidR="000D18B4">
              <w:t xml:space="preserve">  </w:t>
            </w:r>
          </w:p>
          <w:p w14:paraId="14EDF915" w14:textId="77777777" w:rsidR="000D18B4" w:rsidRDefault="000D18B4" w:rsidP="00BA3344">
            <w:pPr>
              <w:keepNext/>
              <w:keepLines/>
              <w:spacing w:before="40"/>
              <w:outlineLvl w:val="1"/>
              <w:rPr>
                <w:rFonts w:asciiTheme="majorHAnsi" w:eastAsiaTheme="majorEastAsia" w:hAnsiTheme="majorHAnsi" w:cstheme="majorBidi"/>
                <w:b/>
                <w:sz w:val="26"/>
                <w:szCs w:val="26"/>
              </w:rPr>
            </w:pPr>
          </w:p>
        </w:tc>
      </w:tr>
    </w:tbl>
    <w:p w14:paraId="34034D76" w14:textId="77777777" w:rsidR="000D18B4" w:rsidRPr="004C1AE3" w:rsidRDefault="000D18B4" w:rsidP="000D18B4"/>
    <w:p w14:paraId="7DBF6AED" w14:textId="77777777" w:rsidR="000D18B4" w:rsidRPr="007D2C8F" w:rsidRDefault="000D18B4" w:rsidP="000D18B4">
      <w:r w:rsidRPr="007D2C8F">
        <w:t>The ageing of Australia’s population is more marked in rural areas. Australian Bureau of Statistics (ABS) data for 2011 show that 40</w:t>
      </w:r>
      <w:r w:rsidR="003D64E0">
        <w:t xml:space="preserve"> per cent</w:t>
      </w:r>
      <w:r w:rsidRPr="007D2C8F">
        <w:t xml:space="preserve"> of all Australians in the 70 to 74 year age group live outside Australia’s capital cities compared with only 25</w:t>
      </w:r>
      <w:r w:rsidR="003D64E0">
        <w:t xml:space="preserve"> per cent</w:t>
      </w:r>
      <w:r w:rsidRPr="007D2C8F">
        <w:t xml:space="preserve"> of people aged 25-29.</w:t>
      </w:r>
      <w:r w:rsidRPr="007D2C8F">
        <w:rPr>
          <w:vertAlign w:val="superscript"/>
        </w:rPr>
        <w:footnoteReference w:id="66"/>
      </w:r>
      <w:r w:rsidRPr="007D2C8F">
        <w:t xml:space="preserve"> </w:t>
      </w:r>
    </w:p>
    <w:p w14:paraId="4F614660" w14:textId="0F0EAEB8" w:rsidR="000D18B4" w:rsidRDefault="000D18B4" w:rsidP="000D18B4">
      <w:r w:rsidRPr="007D2C8F">
        <w:t>Reports from the Australian Institute of Health and Welfare (AIHW) show that</w:t>
      </w:r>
      <w:r w:rsidR="005B2A1C">
        <w:t>,</w:t>
      </w:r>
      <w:r w:rsidRPr="007D2C8F">
        <w:t xml:space="preserve"> on average, older people in rural areas have lower incomes, experience greater levels of disability, reside in poorer quality housing, and have lower levels of completed education. Centralisation of services, reduced access to health services, transport difficulties, inadequate local infrastructure, and vulnerability to drought and other natural hazards increase the difficulties faced by old</w:t>
      </w:r>
      <w:r>
        <w:t>er Queenslanders living in regional</w:t>
      </w:r>
      <w:r w:rsidRPr="007D2C8F">
        <w:t xml:space="preserve"> and remote areas.</w:t>
      </w:r>
      <w:r w:rsidRPr="007D2C8F">
        <w:rPr>
          <w:vertAlign w:val="superscript"/>
        </w:rPr>
        <w:footnoteReference w:id="67"/>
      </w:r>
      <w:r w:rsidRPr="007D2C8F">
        <w:t xml:space="preserve"> </w:t>
      </w:r>
      <w:r>
        <w:t>Community consultation indicated that there are some pockets of Queensland that are not considered regional or remote but are still disconnected</w:t>
      </w:r>
      <w:r w:rsidR="005B2A1C">
        <w:t>,</w:t>
      </w:r>
      <w:r>
        <w:t xml:space="preserve"> such as the islands in Moreton Bay.  </w:t>
      </w:r>
    </w:p>
    <w:p w14:paraId="5D8A1A13" w14:textId="165EA315" w:rsidR="000D18B4" w:rsidRDefault="000D18B4" w:rsidP="000D18B4">
      <w:r>
        <w:t>At the Financial Options Roundtable</w:t>
      </w:r>
      <w:r w:rsidR="005B2A1C">
        <w:t>,</w:t>
      </w:r>
      <w:r>
        <w:t xml:space="preserve"> representatives of the private and not-for-profit sector</w:t>
      </w:r>
      <w:r w:rsidR="005B2A1C">
        <w:t>s</w:t>
      </w:r>
      <w:r>
        <w:t xml:space="preserve"> outlined </w:t>
      </w:r>
      <w:r w:rsidR="005B2A1C">
        <w:t xml:space="preserve">the difficulties with </w:t>
      </w:r>
      <w:r>
        <w:t>providing housing in these areas</w:t>
      </w:r>
      <w:r w:rsidR="005B2A1C">
        <w:t>, including</w:t>
      </w:r>
      <w:r w:rsidR="005B2A1C" w:rsidRPr="005B2A1C">
        <w:t xml:space="preserve"> </w:t>
      </w:r>
      <w:r w:rsidR="005B2A1C">
        <w:t>the red-tape and associated costs of accessing land, building and operations. Often these difficulties mean that developments are</w:t>
      </w:r>
      <w:r>
        <w:t xml:space="preserve"> not financially viable</w:t>
      </w:r>
      <w:r w:rsidR="005B2A1C">
        <w:t xml:space="preserve">, and </w:t>
      </w:r>
      <w:r>
        <w:t xml:space="preserve">developments built in regional areas </w:t>
      </w:r>
      <w:r w:rsidR="005B2A1C">
        <w:t>may</w:t>
      </w:r>
      <w:r>
        <w:t xml:space="preserve"> remain less than fully occupied. A representative of the not-for-profit sector indicated that they continue to deliver to financially unviable locations due to their commitment to these communities. These developments are </w:t>
      </w:r>
      <w:r w:rsidR="005B2A1C">
        <w:t xml:space="preserve">often </w:t>
      </w:r>
      <w:r>
        <w:t>funded through</w:t>
      </w:r>
      <w:r w:rsidR="00E66302">
        <w:t xml:space="preserve"> </w:t>
      </w:r>
      <w:r>
        <w:t>cross-</w:t>
      </w:r>
      <w:r w:rsidR="005B2A1C">
        <w:t>subsidisation</w:t>
      </w:r>
      <w:r w:rsidR="00BE2577">
        <w:t xml:space="preserve"> between operations</w:t>
      </w:r>
      <w:r>
        <w:t xml:space="preserve">. </w:t>
      </w:r>
    </w:p>
    <w:p w14:paraId="1617226C" w14:textId="58ACB7E5" w:rsidR="000D18B4" w:rsidRDefault="000D18B4" w:rsidP="000D18B4">
      <w:pPr>
        <w:contextualSpacing/>
        <w:rPr>
          <w:rFonts w:asciiTheme="majorHAnsi" w:eastAsiaTheme="majorEastAsia" w:hAnsiTheme="majorHAnsi" w:cstheme="majorBidi"/>
          <w:b/>
          <w:color w:val="365F91" w:themeColor="accent1" w:themeShade="BF"/>
          <w:sz w:val="24"/>
          <w:szCs w:val="24"/>
        </w:rPr>
      </w:pPr>
      <w:r w:rsidRPr="006E2053">
        <w:t>Economic Development Queensland’s Ageing in Place pilot project support</w:t>
      </w:r>
      <w:r>
        <w:t>s</w:t>
      </w:r>
      <w:r w:rsidRPr="006E2053">
        <w:t xml:space="preserve"> people in regional communities to age in place. Through the project, adaptable housing will be built in regional communities so that </w:t>
      </w:r>
      <w:r w:rsidRPr="004C1AE3">
        <w:t xml:space="preserve">older </w:t>
      </w:r>
      <w:r w:rsidRPr="006E2053">
        <w:t>people can remain in their towns, close to family and friends. The strategy includes building one and two bedroom</w:t>
      </w:r>
      <w:r w:rsidR="005B2A1C">
        <w:t>,</w:t>
      </w:r>
      <w:r w:rsidRPr="006E2053">
        <w:t xml:space="preserve"> low set duplex and villa homes featuring wider hallways and doorways to accommodate wheelchairs. The design includes kitchen benches set at different heights, reinforced bathrooms for the inclusion of handrails and accessibility equipment, and personal safety switches. The </w:t>
      </w:r>
      <w:r w:rsidR="005B2A1C">
        <w:t>p</w:t>
      </w:r>
      <w:r w:rsidRPr="006E2053">
        <w:t>ilot scheme target</w:t>
      </w:r>
      <w:r w:rsidRPr="004C1AE3">
        <w:t>s</w:t>
      </w:r>
      <w:r w:rsidRPr="006E2053">
        <w:t xml:space="preserve"> four towns: Winton, Longreach, Barcaldine and Cloncurry.</w:t>
      </w:r>
      <w:r>
        <w:rPr>
          <w:rFonts w:asciiTheme="majorHAnsi" w:eastAsiaTheme="majorEastAsia" w:hAnsiTheme="majorHAnsi" w:cstheme="majorBidi"/>
          <w:b/>
          <w:color w:val="365F91" w:themeColor="accent1" w:themeShade="BF"/>
          <w:sz w:val="24"/>
          <w:szCs w:val="24"/>
        </w:rPr>
        <w:t xml:space="preserve"> </w:t>
      </w:r>
    </w:p>
    <w:p w14:paraId="67D7A10E" w14:textId="77777777" w:rsidR="00F50DD4" w:rsidRDefault="00F50DD4" w:rsidP="000D18B4">
      <w:pPr>
        <w:contextualSpacing/>
        <w:rPr>
          <w:rFonts w:asciiTheme="majorHAnsi" w:eastAsiaTheme="majorEastAsia" w:hAnsiTheme="majorHAnsi" w:cstheme="majorBidi"/>
          <w:b/>
          <w:color w:val="365F91" w:themeColor="accent1" w:themeShade="BF"/>
          <w:sz w:val="24"/>
          <w:szCs w:val="24"/>
        </w:rPr>
      </w:pPr>
    </w:p>
    <w:p w14:paraId="109042B5" w14:textId="4A5BE576" w:rsidR="000D18B4" w:rsidRPr="008750C0" w:rsidRDefault="000D18B4" w:rsidP="000D18B4">
      <w:pPr>
        <w:pStyle w:val="Heading2"/>
      </w:pPr>
      <w:bookmarkStart w:id="1630" w:name="_Toc460257516"/>
      <w:r>
        <w:lastRenderedPageBreak/>
        <w:t>Diversity of financial options</w:t>
      </w:r>
      <w:bookmarkEnd w:id="1630"/>
    </w:p>
    <w:tbl>
      <w:tblPr>
        <w:tblStyle w:val="TableGrid"/>
        <w:tblW w:w="0" w:type="auto"/>
        <w:tblLook w:val="04A0" w:firstRow="1" w:lastRow="0" w:firstColumn="1" w:lastColumn="0" w:noHBand="0" w:noVBand="1"/>
      </w:tblPr>
      <w:tblGrid>
        <w:gridCol w:w="9322"/>
      </w:tblGrid>
      <w:tr w:rsidR="000D18B4" w14:paraId="3922BA16" w14:textId="77777777" w:rsidTr="00BA3344">
        <w:tc>
          <w:tcPr>
            <w:tcW w:w="9548" w:type="dxa"/>
          </w:tcPr>
          <w:p w14:paraId="095BD972" w14:textId="77777777" w:rsidR="000D18B4" w:rsidRPr="001B1330" w:rsidRDefault="000D18B4" w:rsidP="00BA3344">
            <w:pPr>
              <w:pStyle w:val="Boxheading"/>
            </w:pPr>
            <w:r w:rsidRPr="001B1330">
              <w:t>Issues</w:t>
            </w:r>
          </w:p>
          <w:p w14:paraId="23B1AD07" w14:textId="4D22F8E4" w:rsidR="000D18B4" w:rsidRDefault="000D18B4" w:rsidP="00911F41">
            <w:pPr>
              <w:pStyle w:val="ListParagraph"/>
              <w:numPr>
                <w:ilvl w:val="0"/>
                <w:numId w:val="7"/>
              </w:numPr>
              <w:spacing w:after="0" w:line="240" w:lineRule="auto"/>
            </w:pPr>
            <w:r>
              <w:t xml:space="preserve">For many older Queenslanders, </w:t>
            </w:r>
            <w:r w:rsidRPr="00F2302A">
              <w:t>their wealth</w:t>
            </w:r>
            <w:r w:rsidR="00BB75B0">
              <w:rPr>
                <w:rStyle w:val="FootnoteReference"/>
              </w:rPr>
              <w:footnoteReference w:id="68"/>
            </w:r>
            <w:r w:rsidRPr="00F2302A">
              <w:t xml:space="preserve"> </w:t>
            </w:r>
            <w:r w:rsidR="0054788D" w:rsidRPr="00F2302A">
              <w:t>lies</w:t>
            </w:r>
            <w:r w:rsidR="0054788D">
              <w:t xml:space="preserve"> </w:t>
            </w:r>
            <w:r>
              <w:t xml:space="preserve">in the family home. </w:t>
            </w:r>
            <w:r w:rsidR="0054788D">
              <w:t>T</w:t>
            </w:r>
            <w:r>
              <w:t>hey may be reluctant to use the equity in their homes to fund services they need as they grow older</w:t>
            </w:r>
            <w:r w:rsidR="0054788D">
              <w:t>.</w:t>
            </w:r>
          </w:p>
          <w:p w14:paraId="7247AB60" w14:textId="09F746C7" w:rsidR="000D18B4" w:rsidRDefault="000D18B4" w:rsidP="00911F41">
            <w:pPr>
              <w:pStyle w:val="ListParagraph"/>
              <w:numPr>
                <w:ilvl w:val="0"/>
                <w:numId w:val="7"/>
              </w:numPr>
              <w:spacing w:after="0" w:line="240" w:lineRule="auto"/>
            </w:pPr>
            <w:r>
              <w:t>Whil</w:t>
            </w:r>
            <w:r w:rsidR="0054788D">
              <w:t>e</w:t>
            </w:r>
            <w:r>
              <w:t xml:space="preserve"> financial institutions can provide equity release products, they are reluctant to provide services to people who do not have an income</w:t>
            </w:r>
            <w:r w:rsidR="0054788D">
              <w:t>.</w:t>
            </w:r>
          </w:p>
          <w:p w14:paraId="428666CE" w14:textId="77777777" w:rsidR="000D18B4" w:rsidRDefault="000D18B4" w:rsidP="00BA3344">
            <w:pPr>
              <w:keepNext/>
              <w:keepLines/>
              <w:spacing w:before="40"/>
              <w:outlineLvl w:val="1"/>
              <w:rPr>
                <w:rFonts w:asciiTheme="majorHAnsi" w:eastAsiaTheme="majorEastAsia" w:hAnsiTheme="majorHAnsi" w:cstheme="majorBidi"/>
                <w:b/>
                <w:sz w:val="26"/>
                <w:szCs w:val="26"/>
              </w:rPr>
            </w:pPr>
          </w:p>
        </w:tc>
      </w:tr>
    </w:tbl>
    <w:p w14:paraId="0449C240" w14:textId="77777777" w:rsidR="000D18B4" w:rsidRDefault="000D18B4" w:rsidP="000D18B4">
      <w:pPr>
        <w:keepNext/>
        <w:keepLines/>
        <w:spacing w:before="40" w:after="0"/>
        <w:ind w:firstLine="360"/>
        <w:outlineLvl w:val="1"/>
        <w:rPr>
          <w:rFonts w:asciiTheme="majorHAnsi" w:eastAsiaTheme="majorEastAsia" w:hAnsiTheme="majorHAnsi" w:cstheme="majorBidi"/>
          <w:b/>
          <w:sz w:val="26"/>
          <w:szCs w:val="26"/>
        </w:rPr>
      </w:pPr>
    </w:p>
    <w:p w14:paraId="1CADC614" w14:textId="79F0BE9D" w:rsidR="000D18B4" w:rsidRPr="00AB565A" w:rsidRDefault="000D18B4" w:rsidP="000D18B4">
      <w:r w:rsidRPr="0075125D">
        <w:t xml:space="preserve">The majority of older Queenslanders own their own home outright </w:t>
      </w:r>
      <w:r>
        <w:t>and have housing security.</w:t>
      </w:r>
      <w:r w:rsidRPr="0075125D">
        <w:t xml:space="preserve"> </w:t>
      </w:r>
      <w:r>
        <w:t xml:space="preserve">Some have </w:t>
      </w:r>
      <w:r w:rsidRPr="0075125D">
        <w:t xml:space="preserve">sufficient income to fund a </w:t>
      </w:r>
      <w:r>
        <w:t>‘</w:t>
      </w:r>
      <w:r w:rsidRPr="0075125D">
        <w:t>comfortab</w:t>
      </w:r>
      <w:r>
        <w:t xml:space="preserve">le’ lifestyle, but many have </w:t>
      </w:r>
      <w:r w:rsidRPr="0075125D">
        <w:t xml:space="preserve">low fixed </w:t>
      </w:r>
      <w:r w:rsidRPr="00AB565A">
        <w:t xml:space="preserve">incomes. Older households tend to be asset rich and income poor with </w:t>
      </w:r>
      <w:r w:rsidR="0054788D" w:rsidRPr="00F2302A">
        <w:t xml:space="preserve">most </w:t>
      </w:r>
      <w:r w:rsidR="001D26C0">
        <w:t>wealth</w:t>
      </w:r>
      <w:r w:rsidRPr="00AB565A">
        <w:t xml:space="preserve"> tied up in the family home.</w:t>
      </w:r>
      <w:r w:rsidRPr="00AB565A">
        <w:rPr>
          <w:rStyle w:val="FootnoteReference"/>
        </w:rPr>
        <w:footnoteReference w:id="69"/>
      </w:r>
      <w:r w:rsidRPr="00AB565A">
        <w:t xml:space="preserve"> The Taskforce focussed on housing </w:t>
      </w:r>
      <w:r w:rsidR="006F275A">
        <w:t xml:space="preserve">equity </w:t>
      </w:r>
      <w:r w:rsidRPr="00AB565A">
        <w:t xml:space="preserve">as </w:t>
      </w:r>
      <w:r w:rsidRPr="00F2302A">
        <w:t xml:space="preserve">a store of </w:t>
      </w:r>
      <w:r w:rsidR="00F2302A" w:rsidRPr="00F2302A">
        <w:t>wealth</w:t>
      </w:r>
      <w:r w:rsidRPr="00AB565A">
        <w:t xml:space="preserve"> that can potentially be used by an older person as a </w:t>
      </w:r>
      <w:r w:rsidR="00BB75B0">
        <w:t>source</w:t>
      </w:r>
      <w:r w:rsidRPr="00AB565A">
        <w:t xml:space="preserve"> of income or funds for their care or lifestyle needs.   </w:t>
      </w:r>
    </w:p>
    <w:p w14:paraId="5194A2EA" w14:textId="20489AB1" w:rsidR="000D18B4" w:rsidRPr="00AB565A" w:rsidRDefault="000D18B4" w:rsidP="000D18B4">
      <w:r w:rsidRPr="00AB565A">
        <w:t>Representatives of financial institutions indicated the sector’s reluctance to provide loans or equity release products to people without incomes due to a range of factors and risks. However, equity release products</w:t>
      </w:r>
      <w:r w:rsidR="0054788D">
        <w:t>,</w:t>
      </w:r>
      <w:r w:rsidRPr="00AB565A">
        <w:t xml:space="preserve"> </w:t>
      </w:r>
      <w:r w:rsidR="00C32322">
        <w:t>known as reverse mortgages, care mortgages or care loans,</w:t>
      </w:r>
      <w:r w:rsidR="0054788D">
        <w:t xml:space="preserve"> do </w:t>
      </w:r>
      <w:r w:rsidRPr="00AB565A">
        <w:t xml:space="preserve">exist </w:t>
      </w:r>
      <w:r w:rsidR="0054788D">
        <w:t>and are supported by</w:t>
      </w:r>
      <w:r w:rsidRPr="00AB565A">
        <w:t xml:space="preserve"> legislation.  </w:t>
      </w:r>
    </w:p>
    <w:p w14:paraId="4E3AC6F2" w14:textId="4BE0058D" w:rsidR="000D18B4" w:rsidRDefault="000D18B4" w:rsidP="000D18B4">
      <w:r w:rsidRPr="00AB565A">
        <w:t xml:space="preserve">The Financial Options Roundtable discussed issues around older people accessing these products </w:t>
      </w:r>
      <w:r>
        <w:t>includ</w:t>
      </w:r>
      <w:r w:rsidR="0054788D">
        <w:t>ing their</w:t>
      </w:r>
      <w:r w:rsidRPr="00AB565A">
        <w:t xml:space="preserve"> knowledge about </w:t>
      </w:r>
      <w:r>
        <w:t>the products</w:t>
      </w:r>
      <w:r w:rsidR="00C32322" w:rsidRPr="00C32322">
        <w:t xml:space="preserve"> </w:t>
      </w:r>
      <w:r w:rsidR="00C32322">
        <w:t xml:space="preserve">and </w:t>
      </w:r>
      <w:r w:rsidR="00C32322" w:rsidRPr="00AB565A">
        <w:t>attitude</w:t>
      </w:r>
      <w:r w:rsidR="00C32322">
        <w:t>s toward use of t</w:t>
      </w:r>
      <w:r w:rsidRPr="00AB565A">
        <w:t>he family home</w:t>
      </w:r>
      <w:r w:rsidR="00C32322">
        <w:t xml:space="preserve"> to fund older age needs</w:t>
      </w:r>
      <w:r w:rsidRPr="00AB565A">
        <w:t xml:space="preserve">. The Financial Options Roundtable considered that there is further work to be done in establishing financial products.  </w:t>
      </w:r>
    </w:p>
    <w:p w14:paraId="4F24326E" w14:textId="77777777" w:rsidR="004B1F60" w:rsidRPr="00376644" w:rsidRDefault="004B1F60" w:rsidP="000D18B4">
      <w:pPr>
        <w:rPr>
          <w:color w:val="4BACC6" w:themeColor="accent5"/>
        </w:rPr>
      </w:pPr>
    </w:p>
    <w:p w14:paraId="3FEF06E2" w14:textId="6C41E310" w:rsidR="000D18B4" w:rsidRDefault="000D18B4" w:rsidP="000D18B4">
      <w:pPr>
        <w:pStyle w:val="Heading2"/>
      </w:pPr>
      <w:bookmarkStart w:id="1631" w:name="_Toc460257517"/>
      <w:r>
        <w:t xml:space="preserve">Aged </w:t>
      </w:r>
      <w:r w:rsidR="00537F92">
        <w:t>c</w:t>
      </w:r>
      <w:r>
        <w:t>are</w:t>
      </w:r>
      <w:bookmarkEnd w:id="1631"/>
    </w:p>
    <w:tbl>
      <w:tblPr>
        <w:tblStyle w:val="TableGrid"/>
        <w:tblW w:w="0" w:type="auto"/>
        <w:tblLook w:val="04A0" w:firstRow="1" w:lastRow="0" w:firstColumn="1" w:lastColumn="0" w:noHBand="0" w:noVBand="1"/>
      </w:tblPr>
      <w:tblGrid>
        <w:gridCol w:w="9322"/>
      </w:tblGrid>
      <w:tr w:rsidR="000D18B4" w14:paraId="4200DF48" w14:textId="77777777" w:rsidTr="00BA3344">
        <w:tc>
          <w:tcPr>
            <w:tcW w:w="9548" w:type="dxa"/>
          </w:tcPr>
          <w:p w14:paraId="4FE7E531" w14:textId="77777777" w:rsidR="000D18B4" w:rsidRDefault="000D18B4" w:rsidP="00BA3344">
            <w:pPr>
              <w:pStyle w:val="Boxheading"/>
            </w:pPr>
            <w:r>
              <w:t xml:space="preserve">Issues </w:t>
            </w:r>
          </w:p>
          <w:p w14:paraId="0E506185" w14:textId="77777777" w:rsidR="000D18B4" w:rsidRDefault="000D18B4" w:rsidP="000D28C0">
            <w:pPr>
              <w:pStyle w:val="ListParagraph"/>
              <w:numPr>
                <w:ilvl w:val="0"/>
                <w:numId w:val="7"/>
              </w:numPr>
              <w:spacing w:after="0" w:line="240" w:lineRule="auto"/>
            </w:pPr>
            <w:r>
              <w:t>Transitioning to aged care is a complex process.</w:t>
            </w:r>
          </w:p>
          <w:p w14:paraId="707984C8" w14:textId="5FB58A0F" w:rsidR="00F36461" w:rsidRDefault="00F36461" w:rsidP="000D28C0">
            <w:pPr>
              <w:pStyle w:val="ListParagraph"/>
              <w:numPr>
                <w:ilvl w:val="0"/>
                <w:numId w:val="7"/>
              </w:numPr>
              <w:spacing w:after="0" w:line="240" w:lineRule="auto"/>
            </w:pPr>
            <w:r w:rsidRPr="00F36461">
              <w:t>The transition process from independent living to residential care can be extremely difficult for many seniors, especially those who may be ill, have early dementia or are without family assistance</w:t>
            </w:r>
            <w:r>
              <w:t>.</w:t>
            </w:r>
          </w:p>
          <w:p w14:paraId="701098E8" w14:textId="2D9AC40B" w:rsidR="00F36461" w:rsidRDefault="00F36461" w:rsidP="000D28C0">
            <w:pPr>
              <w:pStyle w:val="ListParagraph"/>
              <w:numPr>
                <w:ilvl w:val="0"/>
                <w:numId w:val="7"/>
              </w:numPr>
              <w:spacing w:after="0" w:line="240" w:lineRule="auto"/>
            </w:pPr>
            <w:r w:rsidRPr="00F36461">
              <w:t xml:space="preserve">The home care reforms </w:t>
            </w:r>
            <w:r>
              <w:t xml:space="preserve">underway </w:t>
            </w:r>
            <w:r w:rsidRPr="00F36461">
              <w:t>are a positive step forward, but home care will still operate as a capped place arrangement and not a fully demand placed system.</w:t>
            </w:r>
          </w:p>
          <w:p w14:paraId="180FAA79" w14:textId="2C0B8FA4" w:rsidR="00F36461" w:rsidRDefault="00F36461" w:rsidP="000D28C0">
            <w:pPr>
              <w:pStyle w:val="ListParagraph"/>
              <w:numPr>
                <w:ilvl w:val="0"/>
                <w:numId w:val="7"/>
              </w:numPr>
              <w:spacing w:after="0" w:line="240" w:lineRule="auto"/>
            </w:pPr>
            <w:r w:rsidRPr="00F36461">
              <w:t>The preference to age in place is expected to drive demand for home care and modifications to prolong the stay in the family home.</w:t>
            </w:r>
          </w:p>
          <w:p w14:paraId="3CB9E131" w14:textId="77777777" w:rsidR="000D18B4" w:rsidRDefault="000D18B4" w:rsidP="00BA3344">
            <w:pPr>
              <w:keepNext/>
              <w:keepLines/>
              <w:spacing w:before="40"/>
              <w:outlineLvl w:val="1"/>
              <w:rPr>
                <w:rFonts w:asciiTheme="majorHAnsi" w:eastAsiaTheme="majorEastAsia" w:hAnsiTheme="majorHAnsi" w:cstheme="majorBidi"/>
                <w:b/>
                <w:sz w:val="26"/>
                <w:szCs w:val="26"/>
              </w:rPr>
            </w:pPr>
          </w:p>
        </w:tc>
      </w:tr>
    </w:tbl>
    <w:p w14:paraId="368295C3" w14:textId="77777777" w:rsidR="000D18B4" w:rsidRDefault="000D18B4" w:rsidP="000D18B4"/>
    <w:p w14:paraId="4AB8340E" w14:textId="72D63C4D" w:rsidR="000D18B4" w:rsidRDefault="000D18B4" w:rsidP="000D18B4">
      <w:pPr>
        <w:rPr>
          <w:rFonts w:eastAsia="Times New Roman" w:cs="Times New Roman"/>
        </w:rPr>
      </w:pPr>
      <w:r w:rsidRPr="004D6DBD">
        <w:rPr>
          <w:rFonts w:eastAsia="Times New Roman" w:cs="Times New Roman"/>
        </w:rPr>
        <w:t xml:space="preserve">Aged </w:t>
      </w:r>
      <w:r w:rsidR="00C32322">
        <w:rPr>
          <w:rFonts w:eastAsia="Times New Roman" w:cs="Times New Roman"/>
        </w:rPr>
        <w:t>c</w:t>
      </w:r>
      <w:r w:rsidRPr="004D6DBD">
        <w:rPr>
          <w:rFonts w:eastAsia="Times New Roman" w:cs="Times New Roman"/>
        </w:rPr>
        <w:t xml:space="preserve">are in Australia is administered by the Australian Government and governed by the </w:t>
      </w:r>
      <w:r w:rsidRPr="004D6DBD">
        <w:rPr>
          <w:rFonts w:eastAsia="Times New Roman" w:cs="Times New Roman"/>
          <w:i/>
        </w:rPr>
        <w:t>Aged Care Act 1997</w:t>
      </w:r>
      <w:r w:rsidRPr="004D6DBD">
        <w:rPr>
          <w:rFonts w:eastAsia="Times New Roman" w:cs="Times New Roman"/>
        </w:rPr>
        <w:t>. Aged care provides a range of home care options and supported residential accommodation for older people who are unable to continue living independently in their own homes. The type of care provided ranges from personal care</w:t>
      </w:r>
      <w:r w:rsidR="00C32322">
        <w:rPr>
          <w:rFonts w:eastAsia="Times New Roman" w:cs="Times New Roman"/>
        </w:rPr>
        <w:t>,</w:t>
      </w:r>
      <w:r w:rsidRPr="004D6DBD">
        <w:rPr>
          <w:rFonts w:eastAsia="Times New Roman" w:cs="Times New Roman"/>
        </w:rPr>
        <w:t xml:space="preserve"> to assistance with </w:t>
      </w:r>
      <w:r w:rsidR="00C32322" w:rsidRPr="004D6DBD">
        <w:rPr>
          <w:rFonts w:eastAsia="Times New Roman" w:cs="Times New Roman"/>
        </w:rPr>
        <w:t xml:space="preserve">daily living </w:t>
      </w:r>
      <w:r w:rsidRPr="004D6DBD">
        <w:rPr>
          <w:rFonts w:eastAsia="Times New Roman" w:cs="Times New Roman"/>
        </w:rPr>
        <w:t>activities</w:t>
      </w:r>
      <w:r w:rsidR="00C32322">
        <w:rPr>
          <w:rFonts w:eastAsia="Times New Roman" w:cs="Times New Roman"/>
        </w:rPr>
        <w:t xml:space="preserve">, </w:t>
      </w:r>
      <w:r w:rsidRPr="004D6DBD">
        <w:rPr>
          <w:rFonts w:eastAsia="Times New Roman" w:cs="Times New Roman"/>
        </w:rPr>
        <w:t xml:space="preserve">to </w:t>
      </w:r>
      <w:r w:rsidR="00C32322">
        <w:rPr>
          <w:rFonts w:eastAsia="Times New Roman" w:cs="Times New Roman"/>
        </w:rPr>
        <w:t xml:space="preserve">24 hour/day </w:t>
      </w:r>
      <w:r w:rsidRPr="004D6DBD">
        <w:rPr>
          <w:rFonts w:eastAsia="Times New Roman" w:cs="Times New Roman"/>
        </w:rPr>
        <w:t>nursing care.</w:t>
      </w:r>
    </w:p>
    <w:p w14:paraId="17B1CB3D" w14:textId="41AD97B1" w:rsidR="000D18B4" w:rsidRPr="005A5766" w:rsidRDefault="000D18B4" w:rsidP="000D18B4">
      <w:r w:rsidRPr="004D6DBD">
        <w:t xml:space="preserve">Aged </w:t>
      </w:r>
      <w:r w:rsidR="00C32322">
        <w:t>c</w:t>
      </w:r>
      <w:r w:rsidRPr="004D6DBD">
        <w:t>are is</w:t>
      </w:r>
      <w:r w:rsidR="00C32322">
        <w:t xml:space="preserve"> </w:t>
      </w:r>
      <w:r w:rsidRPr="004D6DBD">
        <w:t xml:space="preserve">undergoing significant reform. A key reform is the move towards consumer-directed care in the delivery of </w:t>
      </w:r>
      <w:r w:rsidR="00C32322">
        <w:t>h</w:t>
      </w:r>
      <w:r w:rsidRPr="004D6DBD">
        <w:t xml:space="preserve">ome </w:t>
      </w:r>
      <w:r w:rsidR="00C32322">
        <w:t>c</w:t>
      </w:r>
      <w:r w:rsidRPr="004D6DBD">
        <w:t>are commencing in 2017. The intent</w:t>
      </w:r>
      <w:r w:rsidR="00C32322">
        <w:t>ion</w:t>
      </w:r>
      <w:r w:rsidRPr="004D6DBD">
        <w:t xml:space="preserve"> is </w:t>
      </w:r>
      <w:r w:rsidR="00C32322">
        <w:t>for</w:t>
      </w:r>
      <w:r w:rsidR="00C32322" w:rsidRPr="004D6DBD">
        <w:t xml:space="preserve"> </w:t>
      </w:r>
      <w:r w:rsidRPr="004D6DBD">
        <w:t xml:space="preserve">people </w:t>
      </w:r>
      <w:r w:rsidR="00C32322">
        <w:t>to</w:t>
      </w:r>
      <w:r w:rsidR="00C32322" w:rsidRPr="004D6DBD">
        <w:t xml:space="preserve"> </w:t>
      </w:r>
      <w:r w:rsidRPr="004D6DBD">
        <w:t xml:space="preserve">have greater choice, and </w:t>
      </w:r>
      <w:r w:rsidRPr="004D6DBD">
        <w:lastRenderedPageBreak/>
        <w:t xml:space="preserve">care will be based on need. There is also a significant shift towards the delivery of services to people where they currently live rather than in residential aged care settings. The investment in home support and home care packages will enable people to age in place for longer and have greater choice and flexibility </w:t>
      </w:r>
      <w:r w:rsidR="00C32322">
        <w:t>in</w:t>
      </w:r>
      <w:r w:rsidRPr="004D6DBD">
        <w:t xml:space="preserve"> home-based care and support. The </w:t>
      </w:r>
      <w:r w:rsidR="00C32322">
        <w:t>h</w:t>
      </w:r>
      <w:r w:rsidRPr="004D6DBD">
        <w:t xml:space="preserve">ome </w:t>
      </w:r>
      <w:r w:rsidR="00C32322">
        <w:t>c</w:t>
      </w:r>
      <w:r w:rsidRPr="004D6DBD">
        <w:t xml:space="preserve">are reforms are a positive step forward, </w:t>
      </w:r>
      <w:r w:rsidR="00C32322">
        <w:t>but</w:t>
      </w:r>
      <w:r w:rsidRPr="004D6DBD">
        <w:t xml:space="preserve"> </w:t>
      </w:r>
      <w:r w:rsidR="00C32322">
        <w:t>home care</w:t>
      </w:r>
      <w:r w:rsidR="00C32322" w:rsidRPr="004D6DBD">
        <w:t xml:space="preserve"> </w:t>
      </w:r>
      <w:r w:rsidRPr="004D6DBD">
        <w:t>will still operate as a capped place arrangement and not a fully demand placed system. To exercise choice of provider, older people will need to obtain a place</w:t>
      </w:r>
      <w:r w:rsidR="00C32322">
        <w:t xml:space="preserve">, which </w:t>
      </w:r>
      <w:r w:rsidR="00C32322" w:rsidRPr="004D6DBD">
        <w:t xml:space="preserve">can be a lengthy process </w:t>
      </w:r>
      <w:r w:rsidRPr="004D6DBD">
        <w:t>in many locations.</w:t>
      </w:r>
    </w:p>
    <w:p w14:paraId="050DBF04" w14:textId="5EF90CCF" w:rsidR="000D18B4" w:rsidRDefault="000D18B4" w:rsidP="000D18B4">
      <w:pPr>
        <w:rPr>
          <w:rFonts w:eastAsia="Times New Roman" w:cs="Times New Roman"/>
        </w:rPr>
      </w:pPr>
      <w:r w:rsidRPr="00D1373A">
        <w:rPr>
          <w:rFonts w:eastAsia="Times New Roman" w:cs="Times New Roman"/>
        </w:rPr>
        <w:t>Residential aged care also</w:t>
      </w:r>
      <w:r>
        <w:rPr>
          <w:rFonts w:eastAsia="Times New Roman" w:cs="Times New Roman"/>
        </w:rPr>
        <w:t xml:space="preserve"> operates on a capped supply basis where places are allocated to Aged Care Planning Regions based on a ratio per 1,000 residents 70 years </w:t>
      </w:r>
      <w:r w:rsidR="00C32322">
        <w:rPr>
          <w:rFonts w:eastAsia="Times New Roman" w:cs="Times New Roman"/>
        </w:rPr>
        <w:t xml:space="preserve">or </w:t>
      </w:r>
      <w:r>
        <w:rPr>
          <w:rFonts w:eastAsia="Times New Roman" w:cs="Times New Roman"/>
        </w:rPr>
        <w:t xml:space="preserve">older. The allocated place ratio </w:t>
      </w:r>
      <w:r w:rsidR="00C32322">
        <w:rPr>
          <w:rFonts w:eastAsia="Times New Roman" w:cs="Times New Roman"/>
        </w:rPr>
        <w:t xml:space="preserve">for Queensland </w:t>
      </w:r>
      <w:r>
        <w:rPr>
          <w:rFonts w:eastAsia="Times New Roman" w:cs="Times New Roman"/>
        </w:rPr>
        <w:t>as at 30 June 2015 was 97.1 per 1,000</w:t>
      </w:r>
      <w:r w:rsidR="00C32322">
        <w:rPr>
          <w:rFonts w:eastAsia="Times New Roman" w:cs="Times New Roman"/>
        </w:rPr>
        <w:t>.</w:t>
      </w:r>
      <w:r>
        <w:rPr>
          <w:rStyle w:val="FootnoteReference"/>
          <w:rFonts w:eastAsia="Times New Roman" w:cs="Times New Roman"/>
        </w:rPr>
        <w:footnoteReference w:id="70"/>
      </w:r>
      <w:r>
        <w:rPr>
          <w:rFonts w:eastAsia="Times New Roman" w:cs="Times New Roman"/>
        </w:rPr>
        <w:t xml:space="preserve"> However, the </w:t>
      </w:r>
      <w:r w:rsidR="00C32322">
        <w:rPr>
          <w:rFonts w:eastAsia="Times New Roman" w:cs="Times New Roman"/>
        </w:rPr>
        <w:t xml:space="preserve">more critical </w:t>
      </w:r>
      <w:r>
        <w:rPr>
          <w:rFonts w:eastAsia="Times New Roman" w:cs="Times New Roman"/>
        </w:rPr>
        <w:t>measure is that of operational places per 1,000 as not all places allocated to providers are utilised.</w:t>
      </w:r>
      <w:r w:rsidR="00F36461">
        <w:rPr>
          <w:rFonts w:eastAsia="Times New Roman" w:cs="Times New Roman"/>
        </w:rPr>
        <w:t xml:space="preserve"> </w:t>
      </w:r>
      <w:r>
        <w:rPr>
          <w:rFonts w:eastAsia="Times New Roman" w:cs="Times New Roman"/>
        </w:rPr>
        <w:t>In Queensland the number of operational places per 1,000 has declined from 85.5 in 2006 to 77.0 in 2015. This compares with 85.6 in 2006 and 81.1 in 2015 nationally.</w:t>
      </w:r>
      <w:r>
        <w:rPr>
          <w:rStyle w:val="FootnoteReference"/>
          <w:rFonts w:eastAsia="Times New Roman" w:cs="Times New Roman"/>
        </w:rPr>
        <w:footnoteReference w:id="71"/>
      </w:r>
      <w:r>
        <w:rPr>
          <w:rFonts w:eastAsia="Times New Roman" w:cs="Times New Roman"/>
        </w:rPr>
        <w:t xml:space="preserve"> The reduction in available places is also believed to be extending the time taken from the completion of the Aged Care Assessment Team (ACAT) assessment to obtaining a residential place. This timeframe is referred to as the </w:t>
      </w:r>
      <w:r w:rsidR="00C32322">
        <w:rPr>
          <w:rFonts w:eastAsia="Times New Roman" w:cs="Times New Roman"/>
        </w:rPr>
        <w:t>m</w:t>
      </w:r>
      <w:r w:rsidRPr="00C32322">
        <w:rPr>
          <w:rFonts w:eastAsia="Times New Roman" w:cs="Times New Roman"/>
        </w:rPr>
        <w:t xml:space="preserve">edian </w:t>
      </w:r>
      <w:r w:rsidR="00C32322">
        <w:rPr>
          <w:rFonts w:eastAsia="Times New Roman" w:cs="Times New Roman"/>
        </w:rPr>
        <w:t>e</w:t>
      </w:r>
      <w:r w:rsidRPr="00C32322">
        <w:rPr>
          <w:rFonts w:eastAsia="Times New Roman" w:cs="Times New Roman"/>
        </w:rPr>
        <w:t xml:space="preserve">lapsed </w:t>
      </w:r>
      <w:r w:rsidR="00C32322">
        <w:rPr>
          <w:rFonts w:eastAsia="Times New Roman" w:cs="Times New Roman"/>
        </w:rPr>
        <w:t>t</w:t>
      </w:r>
      <w:r w:rsidRPr="00C32322">
        <w:rPr>
          <w:rFonts w:eastAsia="Times New Roman" w:cs="Times New Roman"/>
        </w:rPr>
        <w:t xml:space="preserve">ime </w:t>
      </w:r>
      <w:r w:rsidR="00C32322">
        <w:rPr>
          <w:rFonts w:eastAsia="Times New Roman" w:cs="Times New Roman"/>
        </w:rPr>
        <w:t>d</w:t>
      </w:r>
      <w:r w:rsidRPr="00C32322">
        <w:rPr>
          <w:rFonts w:eastAsia="Times New Roman" w:cs="Times New Roman"/>
        </w:rPr>
        <w:t xml:space="preserve">ays </w:t>
      </w:r>
      <w:r>
        <w:rPr>
          <w:rFonts w:eastAsia="Times New Roman" w:cs="Times New Roman"/>
        </w:rPr>
        <w:t>and while 78 days is the median</w:t>
      </w:r>
      <w:r w:rsidR="00F36461">
        <w:rPr>
          <w:rFonts w:eastAsia="Times New Roman" w:cs="Times New Roman"/>
        </w:rPr>
        <w:t>,</w:t>
      </w:r>
      <w:r>
        <w:rPr>
          <w:rStyle w:val="FootnoteReference"/>
          <w:rFonts w:eastAsia="Times New Roman" w:cs="Times New Roman"/>
        </w:rPr>
        <w:footnoteReference w:id="72"/>
      </w:r>
      <w:r>
        <w:rPr>
          <w:rFonts w:eastAsia="Times New Roman" w:cs="Times New Roman"/>
        </w:rPr>
        <w:t xml:space="preserve"> </w:t>
      </w:r>
      <w:r>
        <w:rPr>
          <w:rStyle w:val="FootnoteReference"/>
          <w:rFonts w:eastAsia="Times New Roman" w:cs="Times New Roman"/>
        </w:rPr>
        <w:footnoteReference w:id="73"/>
      </w:r>
      <w:r>
        <w:rPr>
          <w:rFonts w:eastAsia="Times New Roman" w:cs="Times New Roman"/>
        </w:rPr>
        <w:t xml:space="preserve"> older people can wait over 12 months to obtain a critically needed place.</w:t>
      </w:r>
    </w:p>
    <w:p w14:paraId="7B65B698" w14:textId="726BEA81" w:rsidR="000D18B4" w:rsidRPr="001A7407" w:rsidRDefault="000D18B4" w:rsidP="000D18B4">
      <w:r>
        <w:rPr>
          <w:rFonts w:eastAsia="Times New Roman" w:cs="Times New Roman"/>
        </w:rPr>
        <w:t xml:space="preserve">The transition process from independent living to residential care can be extremely difficult for many </w:t>
      </w:r>
      <w:r w:rsidR="00825032">
        <w:rPr>
          <w:rFonts w:eastAsia="Times New Roman" w:cs="Times New Roman"/>
        </w:rPr>
        <w:t>older people</w:t>
      </w:r>
      <w:r w:rsidR="00934816">
        <w:rPr>
          <w:rFonts w:eastAsia="Times New Roman" w:cs="Times New Roman"/>
        </w:rPr>
        <w:t>,</w:t>
      </w:r>
      <w:r>
        <w:rPr>
          <w:rFonts w:eastAsia="Times New Roman" w:cs="Times New Roman"/>
        </w:rPr>
        <w:t xml:space="preserve"> especially those who may be ill, have early dementia </w:t>
      </w:r>
      <w:r w:rsidR="00934816">
        <w:rPr>
          <w:rFonts w:eastAsia="Times New Roman" w:cs="Times New Roman"/>
        </w:rPr>
        <w:t xml:space="preserve">or </w:t>
      </w:r>
      <w:r>
        <w:rPr>
          <w:rFonts w:eastAsia="Times New Roman" w:cs="Times New Roman"/>
        </w:rPr>
        <w:t xml:space="preserve">are without family assistance. In particular, low income seniors who are unable to </w:t>
      </w:r>
      <w:r w:rsidR="00825032">
        <w:rPr>
          <w:rFonts w:eastAsia="Times New Roman" w:cs="Times New Roman"/>
        </w:rPr>
        <w:t>pay</w:t>
      </w:r>
      <w:r>
        <w:rPr>
          <w:rFonts w:eastAsia="Times New Roman" w:cs="Times New Roman"/>
        </w:rPr>
        <w:t xml:space="preserve"> the refundable accommodation deposit (RAD) and</w:t>
      </w:r>
      <w:r w:rsidR="00825032">
        <w:rPr>
          <w:rFonts w:eastAsia="Times New Roman" w:cs="Times New Roman"/>
        </w:rPr>
        <w:t xml:space="preserve"> </w:t>
      </w:r>
      <w:r>
        <w:rPr>
          <w:rFonts w:eastAsia="Times New Roman" w:cs="Times New Roman"/>
        </w:rPr>
        <w:t>must compete for a fully subsidised place</w:t>
      </w:r>
      <w:r w:rsidR="00934816">
        <w:rPr>
          <w:rFonts w:eastAsia="Times New Roman" w:cs="Times New Roman"/>
        </w:rPr>
        <w:t>. To do so they need to</w:t>
      </w:r>
      <w:r>
        <w:rPr>
          <w:rFonts w:eastAsia="Times New Roman" w:cs="Times New Roman"/>
        </w:rPr>
        <w:t xml:space="preserve"> navigate the My Aged Care system and</w:t>
      </w:r>
      <w:r w:rsidR="00825032">
        <w:rPr>
          <w:rFonts w:eastAsia="Times New Roman" w:cs="Times New Roman"/>
        </w:rPr>
        <w:t xml:space="preserve"> </w:t>
      </w:r>
      <w:r>
        <w:rPr>
          <w:rFonts w:eastAsia="Times New Roman" w:cs="Times New Roman"/>
        </w:rPr>
        <w:t>attempt the difficult task of finding a provider with a subsidised place available. Brok</w:t>
      </w:r>
      <w:r w:rsidR="00934816">
        <w:rPr>
          <w:rFonts w:eastAsia="Times New Roman" w:cs="Times New Roman"/>
        </w:rPr>
        <w:t>er</w:t>
      </w:r>
      <w:r>
        <w:rPr>
          <w:rFonts w:eastAsia="Times New Roman" w:cs="Times New Roman"/>
        </w:rPr>
        <w:t xml:space="preserve">ing services do operate to assist people </w:t>
      </w:r>
      <w:r w:rsidR="00825032">
        <w:rPr>
          <w:rFonts w:eastAsia="Times New Roman" w:cs="Times New Roman"/>
        </w:rPr>
        <w:t xml:space="preserve">to </w:t>
      </w:r>
      <w:r>
        <w:rPr>
          <w:rFonts w:eastAsia="Times New Roman" w:cs="Times New Roman"/>
        </w:rPr>
        <w:t>find a residential place</w:t>
      </w:r>
      <w:r w:rsidR="00825032">
        <w:rPr>
          <w:rFonts w:eastAsia="Times New Roman" w:cs="Times New Roman"/>
        </w:rPr>
        <w:t xml:space="preserve"> </w:t>
      </w:r>
      <w:r>
        <w:rPr>
          <w:rFonts w:eastAsia="Times New Roman" w:cs="Times New Roman"/>
        </w:rPr>
        <w:t>on a fee for service basis</w:t>
      </w:r>
      <w:r w:rsidR="00825032">
        <w:rPr>
          <w:rFonts w:eastAsia="Times New Roman" w:cs="Times New Roman"/>
        </w:rPr>
        <w:t xml:space="preserve">.  As the </w:t>
      </w:r>
      <w:r>
        <w:rPr>
          <w:rFonts w:eastAsia="Times New Roman" w:cs="Times New Roman"/>
        </w:rPr>
        <w:t>charge is normally over $800</w:t>
      </w:r>
      <w:r w:rsidR="00934816">
        <w:rPr>
          <w:rFonts w:eastAsia="Times New Roman" w:cs="Times New Roman"/>
        </w:rPr>
        <w:t>,</w:t>
      </w:r>
      <w:r>
        <w:rPr>
          <w:rFonts w:eastAsia="Times New Roman" w:cs="Times New Roman"/>
        </w:rPr>
        <w:t xml:space="preserve"> </w:t>
      </w:r>
      <w:r w:rsidR="00825032">
        <w:rPr>
          <w:rFonts w:eastAsia="Times New Roman" w:cs="Times New Roman"/>
        </w:rPr>
        <w:t xml:space="preserve">it is </w:t>
      </w:r>
      <w:r>
        <w:rPr>
          <w:rFonts w:eastAsia="Times New Roman" w:cs="Times New Roman"/>
        </w:rPr>
        <w:t>out of the reach of many older people.</w:t>
      </w:r>
    </w:p>
    <w:p w14:paraId="7F505D29" w14:textId="4365B00F" w:rsidR="000D18B4" w:rsidRPr="00153B3A" w:rsidRDefault="000D18B4" w:rsidP="00537F92">
      <w:pPr>
        <w:rPr>
          <w:rFonts w:ascii="Calibri" w:hAnsi="Calibri"/>
        </w:rPr>
      </w:pPr>
      <w:r w:rsidRPr="00153B3A">
        <w:rPr>
          <w:rFonts w:ascii="Calibri" w:hAnsi="Calibri"/>
        </w:rPr>
        <w:t>The Aged Care Roadmap</w:t>
      </w:r>
      <w:r>
        <w:rPr>
          <w:rFonts w:ascii="Calibri" w:hAnsi="Calibri"/>
        </w:rPr>
        <w:t xml:space="preserve"> was developed in 2016</w:t>
      </w:r>
      <w:r w:rsidRPr="00153B3A">
        <w:rPr>
          <w:rFonts w:ascii="Calibri" w:hAnsi="Calibri"/>
        </w:rPr>
        <w:t xml:space="preserve"> by the Aged Care Sector Committee</w:t>
      </w:r>
      <w:r>
        <w:rPr>
          <w:rFonts w:ascii="Calibri" w:hAnsi="Calibri"/>
        </w:rPr>
        <w:t>, a Commonwealth advisory body,</w:t>
      </w:r>
      <w:r w:rsidRPr="00153B3A">
        <w:rPr>
          <w:rFonts w:ascii="Calibri" w:hAnsi="Calibri"/>
        </w:rPr>
        <w:t xml:space="preserve"> to outline what </w:t>
      </w:r>
      <w:r w:rsidR="00537F92">
        <w:rPr>
          <w:rFonts w:ascii="Calibri" w:hAnsi="Calibri"/>
        </w:rPr>
        <w:t>would be</w:t>
      </w:r>
      <w:r w:rsidR="00537F92" w:rsidRPr="00153B3A">
        <w:rPr>
          <w:rFonts w:ascii="Calibri" w:hAnsi="Calibri"/>
        </w:rPr>
        <w:t xml:space="preserve"> </w:t>
      </w:r>
      <w:r w:rsidRPr="00153B3A">
        <w:rPr>
          <w:rFonts w:ascii="Calibri" w:hAnsi="Calibri"/>
        </w:rPr>
        <w:t>required to realise a sustainable, consumer-led aged care market, where consumers have increased choice and control of what care and support they receive, as well as where, how and when they receive it.</w:t>
      </w:r>
      <w:r>
        <w:rPr>
          <w:rStyle w:val="FootnoteReference"/>
          <w:rFonts w:ascii="Calibri" w:hAnsi="Calibri"/>
        </w:rPr>
        <w:footnoteReference w:id="74"/>
      </w:r>
      <w:r w:rsidRPr="00153B3A">
        <w:rPr>
          <w:rFonts w:ascii="Calibri" w:hAnsi="Calibri"/>
        </w:rPr>
        <w:t xml:space="preserve"> </w:t>
      </w:r>
      <w:r w:rsidRPr="00153B3A">
        <w:rPr>
          <w:rFonts w:ascii="Calibri" w:hAnsi="Calibri"/>
          <w:lang w:val="en-GB"/>
        </w:rPr>
        <w:t>T</w:t>
      </w:r>
      <w:r w:rsidRPr="00153B3A">
        <w:rPr>
          <w:rFonts w:ascii="Calibri" w:hAnsi="Calibri"/>
        </w:rPr>
        <w:t>he Roadmap aspires to a more equitable demand</w:t>
      </w:r>
      <w:r w:rsidR="00537F92">
        <w:rPr>
          <w:rFonts w:ascii="Calibri" w:hAnsi="Calibri"/>
        </w:rPr>
        <w:t>-</w:t>
      </w:r>
      <w:r w:rsidRPr="00153B3A">
        <w:rPr>
          <w:rFonts w:ascii="Calibri" w:hAnsi="Calibri"/>
        </w:rPr>
        <w:t xml:space="preserve">based system </w:t>
      </w:r>
      <w:r w:rsidR="00825032">
        <w:rPr>
          <w:rFonts w:ascii="Calibri" w:hAnsi="Calibri"/>
        </w:rPr>
        <w:t>providing</w:t>
      </w:r>
      <w:r w:rsidRPr="00153B3A">
        <w:rPr>
          <w:rFonts w:ascii="Calibri" w:hAnsi="Calibri"/>
        </w:rPr>
        <w:t xml:space="preserve"> of aged care services with greater choice for all consumers within five to seven years. </w:t>
      </w:r>
      <w:r w:rsidR="00537F92">
        <w:rPr>
          <w:rFonts w:ascii="Calibri" w:hAnsi="Calibri"/>
        </w:rPr>
        <w:t>W</w:t>
      </w:r>
      <w:r w:rsidRPr="00153B3A">
        <w:rPr>
          <w:rFonts w:ascii="Calibri" w:hAnsi="Calibri"/>
        </w:rPr>
        <w:t xml:space="preserve">hile this aspirational goal has the potential to better protect more vulnerable consumers in the future, there are many </w:t>
      </w:r>
      <w:r w:rsidRPr="00537F92">
        <w:rPr>
          <w:rFonts w:eastAsia="Times New Roman" w:cs="Times New Roman"/>
        </w:rPr>
        <w:t>disadvantaged</w:t>
      </w:r>
      <w:r w:rsidRPr="00153B3A">
        <w:rPr>
          <w:rFonts w:ascii="Calibri" w:hAnsi="Calibri"/>
        </w:rPr>
        <w:t xml:space="preserve"> older people who need that help today.</w:t>
      </w:r>
    </w:p>
    <w:p w14:paraId="37331B7A" w14:textId="1B0FC3B6" w:rsidR="000D18B4" w:rsidRDefault="000D18B4" w:rsidP="000D18B4">
      <w:r w:rsidRPr="005A5766">
        <w:t xml:space="preserve">The </w:t>
      </w:r>
      <w:r>
        <w:t xml:space="preserve">trends </w:t>
      </w:r>
      <w:r w:rsidRPr="005A5766">
        <w:t xml:space="preserve">will increase demand for the limited supply of accessible housing stock as people </w:t>
      </w:r>
      <w:r w:rsidR="00537F92">
        <w:t>live</w:t>
      </w:r>
      <w:r w:rsidRPr="005A5766">
        <w:t xml:space="preserve"> longer in their current dwellings or neighbourhoods, and increase demand for services that modify houses as people age.</w:t>
      </w:r>
      <w:r>
        <w:t xml:space="preserve"> </w:t>
      </w:r>
      <w:r w:rsidRPr="00D52A71">
        <w:t>Th</w:t>
      </w:r>
      <w:r>
        <w:t>e preference to age in place is expected to</w:t>
      </w:r>
      <w:r w:rsidRPr="00D52A71">
        <w:t xml:space="preserve"> drive demand for home care and modifications to prolong the stay in the family home</w:t>
      </w:r>
      <w:r w:rsidR="00537F92">
        <w:t>. T</w:t>
      </w:r>
      <w:r w:rsidRPr="00D52A71">
        <w:t>he move to provide aged care services in people’s homes is converting residential aged care into an ‘end of life’ service.</w:t>
      </w:r>
    </w:p>
    <w:p w14:paraId="3EB1D8E2" w14:textId="46D3EF77" w:rsidR="000D18B4" w:rsidRPr="00623D04" w:rsidRDefault="000D18B4" w:rsidP="000D18B4">
      <w:pPr>
        <w:pStyle w:val="Heading2"/>
      </w:pPr>
      <w:bookmarkStart w:id="1632" w:name="_Toc457506554"/>
      <w:bookmarkStart w:id="1633" w:name="_Toc457512582"/>
      <w:bookmarkStart w:id="1634" w:name="_Toc457506555"/>
      <w:bookmarkStart w:id="1635" w:name="_Toc457512583"/>
      <w:bookmarkStart w:id="1636" w:name="_Toc457506556"/>
      <w:bookmarkStart w:id="1637" w:name="_Toc457512584"/>
      <w:bookmarkStart w:id="1638" w:name="_Toc457506557"/>
      <w:bookmarkStart w:id="1639" w:name="_Toc457512585"/>
      <w:bookmarkStart w:id="1640" w:name="_Toc457506558"/>
      <w:bookmarkStart w:id="1641" w:name="_Toc457512586"/>
      <w:bookmarkStart w:id="1642" w:name="_Toc460257518"/>
      <w:bookmarkEnd w:id="1632"/>
      <w:bookmarkEnd w:id="1633"/>
      <w:bookmarkEnd w:id="1634"/>
      <w:bookmarkEnd w:id="1635"/>
      <w:bookmarkEnd w:id="1636"/>
      <w:bookmarkEnd w:id="1637"/>
      <w:bookmarkEnd w:id="1638"/>
      <w:bookmarkEnd w:id="1639"/>
      <w:bookmarkEnd w:id="1640"/>
      <w:bookmarkEnd w:id="1641"/>
      <w:r w:rsidRPr="00623D04">
        <w:lastRenderedPageBreak/>
        <w:t xml:space="preserve">Retirement </w:t>
      </w:r>
      <w:r w:rsidR="00537F92">
        <w:t>v</w:t>
      </w:r>
      <w:r w:rsidRPr="00623D04">
        <w:t>illages</w:t>
      </w:r>
      <w:bookmarkEnd w:id="1642"/>
    </w:p>
    <w:tbl>
      <w:tblPr>
        <w:tblStyle w:val="TableGrid"/>
        <w:tblW w:w="0" w:type="auto"/>
        <w:tblLook w:val="04A0" w:firstRow="1" w:lastRow="0" w:firstColumn="1" w:lastColumn="0" w:noHBand="0" w:noVBand="1"/>
      </w:tblPr>
      <w:tblGrid>
        <w:gridCol w:w="9322"/>
      </w:tblGrid>
      <w:tr w:rsidR="000D18B4" w14:paraId="0D9DC1B0" w14:textId="77777777" w:rsidTr="00BA3344">
        <w:tc>
          <w:tcPr>
            <w:tcW w:w="9548" w:type="dxa"/>
          </w:tcPr>
          <w:p w14:paraId="47DA2D78" w14:textId="77777777" w:rsidR="000D18B4" w:rsidRDefault="000D18B4" w:rsidP="00BA3344">
            <w:pPr>
              <w:pStyle w:val="Boxheading"/>
            </w:pPr>
            <w:r>
              <w:t>Issues</w:t>
            </w:r>
          </w:p>
          <w:p w14:paraId="180F267E" w14:textId="4B96739C" w:rsidR="000D18B4" w:rsidRDefault="000D18B4" w:rsidP="000D28C0">
            <w:pPr>
              <w:pStyle w:val="ListParagraph"/>
              <w:numPr>
                <w:ilvl w:val="0"/>
                <w:numId w:val="8"/>
              </w:numPr>
              <w:spacing w:after="0" w:line="240" w:lineRule="auto"/>
            </w:pPr>
            <w:r>
              <w:t xml:space="preserve">Housing suppliers </w:t>
            </w:r>
            <w:r w:rsidR="00537F92">
              <w:t xml:space="preserve">advise </w:t>
            </w:r>
            <w:r>
              <w:t xml:space="preserve">that the </w:t>
            </w:r>
            <w:r w:rsidRPr="00735CFB">
              <w:rPr>
                <w:i/>
              </w:rPr>
              <w:t>Retirement Villages Act 1999</w:t>
            </w:r>
            <w:r>
              <w:t xml:space="preserve"> </w:t>
            </w:r>
            <w:r w:rsidR="00537F92">
              <w:t xml:space="preserve">(the Act) </w:t>
            </w:r>
            <w:r>
              <w:t>restricts suppliers to provide housing within the scope of the Act and does not allow for innovation in the sector</w:t>
            </w:r>
            <w:r w:rsidR="00537F92">
              <w:t>.</w:t>
            </w:r>
          </w:p>
          <w:p w14:paraId="5D428D26" w14:textId="76095ED1" w:rsidR="00537F92" w:rsidRDefault="000D18B4" w:rsidP="000D28C0">
            <w:pPr>
              <w:pStyle w:val="ListParagraph"/>
              <w:numPr>
                <w:ilvl w:val="0"/>
                <w:numId w:val="8"/>
              </w:numPr>
              <w:spacing w:after="0" w:line="240" w:lineRule="auto"/>
            </w:pPr>
            <w:r>
              <w:t>The review of the</w:t>
            </w:r>
            <w:r w:rsidR="00537F92">
              <w:t xml:space="preserve"> Act</w:t>
            </w:r>
            <w:r>
              <w:t xml:space="preserve"> has been lengthy and </w:t>
            </w:r>
            <w:r w:rsidR="00537F92">
              <w:t xml:space="preserve">has </w:t>
            </w:r>
            <w:r>
              <w:t xml:space="preserve">not </w:t>
            </w:r>
            <w:r w:rsidR="00537F92">
              <w:t xml:space="preserve">yet </w:t>
            </w:r>
            <w:r>
              <w:t xml:space="preserve">concluded. </w:t>
            </w:r>
          </w:p>
          <w:p w14:paraId="15B11C9E" w14:textId="341609ED" w:rsidR="000D18B4" w:rsidRDefault="000D18B4" w:rsidP="000D28C0">
            <w:pPr>
              <w:pStyle w:val="ListParagraph"/>
              <w:numPr>
                <w:ilvl w:val="0"/>
                <w:numId w:val="8"/>
              </w:numPr>
              <w:spacing w:after="0" w:line="240" w:lineRule="auto"/>
            </w:pPr>
            <w:r>
              <w:t xml:space="preserve">Operators and residents of retirement villages </w:t>
            </w:r>
            <w:r w:rsidR="00537F92">
              <w:t xml:space="preserve">say </w:t>
            </w:r>
            <w:r>
              <w:t>that the legislation is outdated</w:t>
            </w:r>
            <w:r w:rsidR="00DA5746">
              <w:t xml:space="preserve">. </w:t>
            </w:r>
            <w:r w:rsidR="00537F92">
              <w:t>It does not</w:t>
            </w:r>
            <w:r>
              <w:t xml:space="preserve"> reflect the circumstances of residents</w:t>
            </w:r>
            <w:r w:rsidR="00DA5746">
              <w:t>. For example, it</w:t>
            </w:r>
            <w:r>
              <w:t xml:space="preserve"> does not allow for the co-location of younger people with older people, </w:t>
            </w:r>
            <w:r w:rsidR="00DA5746">
              <w:t xml:space="preserve">it </w:t>
            </w:r>
            <w:r>
              <w:t>is problematic for those transitioning to other housing types or aged care</w:t>
            </w:r>
            <w:r w:rsidR="00DA5746">
              <w:t>.</w:t>
            </w:r>
            <w:r>
              <w:t xml:space="preserve"> </w:t>
            </w:r>
          </w:p>
          <w:p w14:paraId="0F2EB335" w14:textId="77777777" w:rsidR="000D18B4" w:rsidRDefault="000D18B4" w:rsidP="000D28C0">
            <w:pPr>
              <w:pStyle w:val="ListParagraph"/>
              <w:spacing w:after="0" w:line="240" w:lineRule="auto"/>
              <w:ind w:left="1080"/>
            </w:pPr>
          </w:p>
        </w:tc>
      </w:tr>
    </w:tbl>
    <w:p w14:paraId="781C30B6" w14:textId="77777777" w:rsidR="000D18B4" w:rsidRPr="00B76AE0" w:rsidRDefault="000D18B4" w:rsidP="000D18B4">
      <w:pPr>
        <w:rPr>
          <w:color w:val="4BACC6" w:themeColor="accent5"/>
        </w:rPr>
      </w:pPr>
    </w:p>
    <w:p w14:paraId="6C85A3A9" w14:textId="731CDC7A" w:rsidR="000D18B4" w:rsidRDefault="000D18B4" w:rsidP="000D18B4">
      <w:r w:rsidRPr="00623D04">
        <w:t xml:space="preserve">Retirement villages are premises where a community of </w:t>
      </w:r>
      <w:r>
        <w:t>older people</w:t>
      </w:r>
      <w:r w:rsidRPr="00623D04">
        <w:t xml:space="preserve"> resides</w:t>
      </w:r>
      <w:r w:rsidRPr="0075125D">
        <w:t xml:space="preserve"> in independent living</w:t>
      </w:r>
      <w:r>
        <w:t>,</w:t>
      </w:r>
      <w:r w:rsidRPr="0075125D">
        <w:t xml:space="preserve"> serviced units</w:t>
      </w:r>
      <w:r>
        <w:t xml:space="preserve"> or aged care</w:t>
      </w:r>
      <w:r w:rsidR="00DA5746">
        <w:t>,</w:t>
      </w:r>
      <w:r w:rsidRPr="0075125D">
        <w:t xml:space="preserve"> and share common facilities and amenities. Villages are developed and operated by not-for-profit operators </w:t>
      </w:r>
      <w:r w:rsidR="00DA5746">
        <w:t>such as</w:t>
      </w:r>
      <w:r w:rsidR="00DA5746" w:rsidRPr="0075125D">
        <w:t xml:space="preserve"> </w:t>
      </w:r>
      <w:r w:rsidRPr="0075125D">
        <w:t>church and community groups</w:t>
      </w:r>
      <w:r w:rsidR="00DA5746">
        <w:t>, as well as</w:t>
      </w:r>
      <w:r w:rsidRPr="0075125D">
        <w:t xml:space="preserve"> for-profit operators. </w:t>
      </w:r>
    </w:p>
    <w:p w14:paraId="5DE479D0" w14:textId="36C65A1B" w:rsidR="000D18B4" w:rsidRDefault="000D18B4" w:rsidP="000D18B4">
      <w:r w:rsidRPr="004C1AE3">
        <w:t xml:space="preserve">In Queensland, retirement villages are regulated by the </w:t>
      </w:r>
      <w:r w:rsidRPr="00C8088A">
        <w:rPr>
          <w:i/>
        </w:rPr>
        <w:t>Retirement Villages Act 1999</w:t>
      </w:r>
      <w:r>
        <w:t xml:space="preserve"> </w:t>
      </w:r>
      <w:r w:rsidR="00DA5746">
        <w:t xml:space="preserve">(the Act) </w:t>
      </w:r>
      <w:r>
        <w:t>which is currently under review</w:t>
      </w:r>
      <w:r w:rsidRPr="004C1AE3">
        <w:t xml:space="preserve">. The Act regulates a model where retirees purchase a ‘right to reside’ (relatively few schemes provide freehold title) in a unit in the village and the right, in common with other residents, to use and enjoy the communal facilities of the village. </w:t>
      </w:r>
    </w:p>
    <w:p w14:paraId="2121FE4D" w14:textId="6F0081E3" w:rsidR="000D18B4" w:rsidRDefault="000D18B4" w:rsidP="000D18B4">
      <w:r>
        <w:t>Some older people are attracted to retirement villages due to the secure environment, relief from maintenance, social opportunities and facilities. Generally, under the retirement village model, residents pay:</w:t>
      </w:r>
    </w:p>
    <w:p w14:paraId="30258C5E" w14:textId="3752DF58" w:rsidR="000D18B4" w:rsidRDefault="000D18B4" w:rsidP="004363AF">
      <w:pPr>
        <w:pStyle w:val="ListParagraph"/>
        <w:numPr>
          <w:ilvl w:val="0"/>
          <w:numId w:val="17"/>
        </w:numPr>
      </w:pPr>
      <w:r>
        <w:t>Upon entry: entry fees (an ‘ingoing contribution’)</w:t>
      </w:r>
    </w:p>
    <w:p w14:paraId="2B86B510" w14:textId="7495F0C5" w:rsidR="000D18B4" w:rsidRDefault="000D18B4" w:rsidP="004363AF">
      <w:pPr>
        <w:pStyle w:val="ListParagraph"/>
        <w:numPr>
          <w:ilvl w:val="0"/>
          <w:numId w:val="17"/>
        </w:numPr>
      </w:pPr>
      <w:r>
        <w:t>While living in a village: ongoing general service charges</w:t>
      </w:r>
    </w:p>
    <w:p w14:paraId="69DCE227" w14:textId="77777777" w:rsidR="000D18B4" w:rsidRDefault="000D18B4" w:rsidP="004363AF">
      <w:pPr>
        <w:pStyle w:val="ListParagraph"/>
        <w:numPr>
          <w:ilvl w:val="0"/>
          <w:numId w:val="17"/>
        </w:numPr>
      </w:pPr>
      <w:r>
        <w:t>On departure: an exit fee; costs to reinstate the unit; legal costs and costs of sale.</w:t>
      </w:r>
    </w:p>
    <w:p w14:paraId="59DCECF9" w14:textId="3BEB097E" w:rsidR="000D18B4" w:rsidRDefault="000D18B4" w:rsidP="000D18B4">
      <w:r>
        <w:t xml:space="preserve">The right to reside in a retirement village is subject to complex legal and contractual obligations. The views of some Taskforce members and the community consultation findings indicate that very often residents have limited understanding of their legal rights and long-term financial implications.   </w:t>
      </w:r>
    </w:p>
    <w:p w14:paraId="0B7C0180" w14:textId="382BDACC" w:rsidR="000D18B4" w:rsidRDefault="000D18B4" w:rsidP="000D18B4">
      <w:pPr>
        <w:rPr>
          <w:color w:val="4BACC6" w:themeColor="accent5"/>
        </w:rPr>
      </w:pPr>
      <w:r w:rsidRPr="00C8088A">
        <w:t>Some Financial Options Roundtable mem</w:t>
      </w:r>
      <w:r>
        <w:t>bers indicated</w:t>
      </w:r>
      <w:r w:rsidRPr="00C8088A">
        <w:t xml:space="preserve"> that the</w:t>
      </w:r>
      <w:r w:rsidR="00DA5746">
        <w:t xml:space="preserve"> Act</w:t>
      </w:r>
      <w:r w:rsidRPr="00376644">
        <w:rPr>
          <w:color w:val="4BACC6" w:themeColor="accent5"/>
        </w:rPr>
        <w:t xml:space="preserve"> </w:t>
      </w:r>
      <w:r w:rsidRPr="00C8088A">
        <w:t xml:space="preserve">in its current form </w:t>
      </w:r>
      <w:r w:rsidR="00DA5746" w:rsidRPr="00C8088A">
        <w:t xml:space="preserve">limits innovation </w:t>
      </w:r>
      <w:r w:rsidR="00DA5746">
        <w:t xml:space="preserve">and therefore </w:t>
      </w:r>
      <w:r w:rsidRPr="00C8088A">
        <w:t>restricts</w:t>
      </w:r>
      <w:r w:rsidR="00DA5746">
        <w:t>,</w:t>
      </w:r>
      <w:r w:rsidRPr="00C8088A">
        <w:t xml:space="preserve"> rather than enables</w:t>
      </w:r>
      <w:r w:rsidR="00DA5746">
        <w:t>,</w:t>
      </w:r>
      <w:r w:rsidRPr="00C8088A">
        <w:t xml:space="preserve"> the supply of age</w:t>
      </w:r>
      <w:r w:rsidR="00DA5746">
        <w:t>-</w:t>
      </w:r>
      <w:r>
        <w:t>specific</w:t>
      </w:r>
      <w:r w:rsidRPr="00C8088A">
        <w:t xml:space="preserve"> housing</w:t>
      </w:r>
      <w:r w:rsidR="00DA5746">
        <w:t>. They expressed the view that w</w:t>
      </w:r>
      <w:r w:rsidRPr="00C8088A">
        <w:t xml:space="preserve">hile the review of the </w:t>
      </w:r>
      <w:r w:rsidR="00DA5746">
        <w:t>A</w:t>
      </w:r>
      <w:r w:rsidRPr="00C8088A">
        <w:t xml:space="preserve">ct should be completed to </w:t>
      </w:r>
      <w:r>
        <w:t>address</w:t>
      </w:r>
      <w:r w:rsidRPr="00C8088A">
        <w:t xml:space="preserve"> </w:t>
      </w:r>
      <w:r w:rsidR="00DA5746">
        <w:t xml:space="preserve">urgent, </w:t>
      </w:r>
      <w:r w:rsidRPr="00C8088A">
        <w:t xml:space="preserve">short term issues, it should then be </w:t>
      </w:r>
      <w:r w:rsidR="00DA5746">
        <w:t>included in</w:t>
      </w:r>
      <w:r w:rsidRPr="00C8088A">
        <w:t xml:space="preserve"> a higher level review of legislation to better facilitat</w:t>
      </w:r>
      <w:r w:rsidR="00DA5746">
        <w:t>e</w:t>
      </w:r>
      <w:r w:rsidRPr="00C8088A">
        <w:t xml:space="preserve"> innovation and growth.</w:t>
      </w:r>
      <w:r>
        <w:rPr>
          <w:color w:val="4BACC6" w:themeColor="accent5"/>
        </w:rPr>
        <w:t xml:space="preserve"> </w:t>
      </w:r>
    </w:p>
    <w:p w14:paraId="2F523456" w14:textId="2D7D1659" w:rsidR="000D18B4" w:rsidRPr="00572DD8" w:rsidRDefault="000D18B4" w:rsidP="000D18B4">
      <w:pPr>
        <w:pStyle w:val="Heading2"/>
      </w:pPr>
      <w:bookmarkStart w:id="1643" w:name="_Toc457506560"/>
      <w:bookmarkStart w:id="1644" w:name="_Toc457512588"/>
      <w:bookmarkStart w:id="1645" w:name="_Toc460257519"/>
      <w:bookmarkEnd w:id="1643"/>
      <w:bookmarkEnd w:id="1644"/>
      <w:r>
        <w:t>Manufactured Homes</w:t>
      </w:r>
      <w:bookmarkEnd w:id="1645"/>
    </w:p>
    <w:tbl>
      <w:tblPr>
        <w:tblStyle w:val="TableGrid"/>
        <w:tblW w:w="0" w:type="auto"/>
        <w:tblLook w:val="04A0" w:firstRow="1" w:lastRow="0" w:firstColumn="1" w:lastColumn="0" w:noHBand="0" w:noVBand="1"/>
      </w:tblPr>
      <w:tblGrid>
        <w:gridCol w:w="9322"/>
      </w:tblGrid>
      <w:tr w:rsidR="00F36461" w14:paraId="5BBDB3DE" w14:textId="77777777" w:rsidTr="00691F5C">
        <w:tc>
          <w:tcPr>
            <w:tcW w:w="9548" w:type="dxa"/>
          </w:tcPr>
          <w:p w14:paraId="0EDFFCF4" w14:textId="77777777" w:rsidR="00F36461" w:rsidRDefault="00F36461" w:rsidP="00691F5C">
            <w:pPr>
              <w:pStyle w:val="Boxheading"/>
            </w:pPr>
            <w:r>
              <w:t>Issues</w:t>
            </w:r>
          </w:p>
          <w:p w14:paraId="25DBED9A" w14:textId="77777777" w:rsidR="00F36461" w:rsidRDefault="00F36461" w:rsidP="00F36461">
            <w:pPr>
              <w:pStyle w:val="ListParagraph"/>
              <w:numPr>
                <w:ilvl w:val="0"/>
                <w:numId w:val="8"/>
              </w:numPr>
              <w:spacing w:after="0" w:line="240" w:lineRule="auto"/>
            </w:pPr>
            <w:r w:rsidRPr="00F36461">
              <w:t xml:space="preserve">Manufactured homes are expensive to move, which may make these home owners feel 'trapped' and vulnerable to increasing rents and poor service. </w:t>
            </w:r>
          </w:p>
          <w:p w14:paraId="4E7F79C8" w14:textId="7FB3DAD1" w:rsidR="00F36461" w:rsidRDefault="00F36461" w:rsidP="00F36461">
            <w:pPr>
              <w:pStyle w:val="ListParagraph"/>
              <w:numPr>
                <w:ilvl w:val="0"/>
                <w:numId w:val="8"/>
              </w:numPr>
              <w:spacing w:after="0" w:line="240" w:lineRule="auto"/>
            </w:pPr>
            <w:r>
              <w:t>There is a</w:t>
            </w:r>
            <w:r w:rsidRPr="00F36461">
              <w:t xml:space="preserve"> lack of accurate contractual advice prior to moving into a park.</w:t>
            </w:r>
            <w:r>
              <w:t xml:space="preserve"> </w:t>
            </w:r>
          </w:p>
          <w:p w14:paraId="0B6FD150" w14:textId="77777777" w:rsidR="00F36461" w:rsidRDefault="00F36461" w:rsidP="00691F5C">
            <w:pPr>
              <w:pStyle w:val="ListParagraph"/>
              <w:spacing w:after="0" w:line="240" w:lineRule="auto"/>
              <w:ind w:left="1080"/>
            </w:pPr>
          </w:p>
        </w:tc>
      </w:tr>
    </w:tbl>
    <w:p w14:paraId="378E12AA" w14:textId="77777777" w:rsidR="00F36461" w:rsidRDefault="00F36461" w:rsidP="000D28C0"/>
    <w:p w14:paraId="7FAEA0DA" w14:textId="0CCBDE5B" w:rsidR="000D18B4" w:rsidRDefault="000D18B4" w:rsidP="000D28C0">
      <w:r w:rsidRPr="004C1AE3">
        <w:t xml:space="preserve">The distinguishing feature of this type of accommodation is that the resident owns their manufactured home and rents the residential park land on which their home is positioned. In Queensland, </w:t>
      </w:r>
      <w:r w:rsidR="001B757F">
        <w:t>these arrangements</w:t>
      </w:r>
      <w:r w:rsidRPr="004C1AE3">
        <w:t xml:space="preserve"> are regulated by the </w:t>
      </w:r>
      <w:r w:rsidRPr="00611451">
        <w:rPr>
          <w:i/>
        </w:rPr>
        <w:t>Manufactured Homes (Residential Parks) Act 2003</w:t>
      </w:r>
      <w:r w:rsidR="001B757F">
        <w:rPr>
          <w:i/>
        </w:rPr>
        <w:t>,</w:t>
      </w:r>
      <w:r w:rsidRPr="004C1AE3">
        <w:t xml:space="preserve"> </w:t>
      </w:r>
      <w:r>
        <w:t>which is currently under review</w:t>
      </w:r>
      <w:r w:rsidRPr="004C1AE3">
        <w:t>.</w:t>
      </w:r>
    </w:p>
    <w:p w14:paraId="4FB549C4" w14:textId="39D1EEE7" w:rsidR="000D18B4" w:rsidRPr="004C1AE3" w:rsidRDefault="000D18B4" w:rsidP="000D18B4">
      <w:r>
        <w:t>Some o</w:t>
      </w:r>
      <w:r w:rsidRPr="004C1AE3">
        <w:t>lder people are attracted to this type of communal accommodation because of the secure environment, the opportunity to reside with peers and the facilities</w:t>
      </w:r>
      <w:r w:rsidR="001B757F">
        <w:t>,</w:t>
      </w:r>
      <w:r w:rsidRPr="004C1AE3">
        <w:t xml:space="preserve"> which </w:t>
      </w:r>
      <w:r w:rsidR="001B757F">
        <w:t>may</w:t>
      </w:r>
      <w:r w:rsidRPr="004C1AE3">
        <w:t xml:space="preserve"> include swimming </w:t>
      </w:r>
      <w:r w:rsidRPr="004C1AE3">
        <w:lastRenderedPageBreak/>
        <w:t>pools, community halls, activities and bowling greens. The industry has expanded in recent years due to the popularity of residential parks as affordable accommodation for early retirees.</w:t>
      </w:r>
    </w:p>
    <w:p w14:paraId="78DBB845" w14:textId="70F3926A" w:rsidR="000D18B4" w:rsidRDefault="000D18B4" w:rsidP="000D18B4">
      <w:r w:rsidRPr="004C1AE3">
        <w:t>Manufactured homes are found in both mixed-use parks</w:t>
      </w:r>
      <w:r w:rsidR="003D01E2">
        <w:t xml:space="preserve"> (</w:t>
      </w:r>
      <w:r w:rsidRPr="004C1AE3">
        <w:t>a mixture of manufactured homes, caravan sites, tents and holiday cabins</w:t>
      </w:r>
      <w:r w:rsidR="003D01E2">
        <w:t>)</w:t>
      </w:r>
      <w:r w:rsidRPr="004C1AE3">
        <w:t>, which offer short and long-term accommodation, and in</w:t>
      </w:r>
      <w:r w:rsidRPr="004C1AE3">
        <w:tab/>
        <w:t>purpose-built residential parks</w:t>
      </w:r>
      <w:r>
        <w:t xml:space="preserve"> containing </w:t>
      </w:r>
      <w:r w:rsidRPr="004C1AE3">
        <w:t>manufactured homes exclusively</w:t>
      </w:r>
      <w:r w:rsidR="003D01E2">
        <w:t>. These</w:t>
      </w:r>
      <w:r w:rsidRPr="004C1AE3">
        <w:t xml:space="preserve"> are often targeted at the over 50s age group as 'lifestyle parks'.</w:t>
      </w:r>
      <w:r>
        <w:t xml:space="preserve">  </w:t>
      </w:r>
    </w:p>
    <w:p w14:paraId="203927A1" w14:textId="3CF08432" w:rsidR="000D18B4" w:rsidRDefault="000D18B4" w:rsidP="000D18B4">
      <w:r w:rsidRPr="004C1AE3">
        <w:t>Generally</w:t>
      </w:r>
      <w:r w:rsidR="003D01E2">
        <w:t>,</w:t>
      </w:r>
      <w:r w:rsidRPr="004C1AE3">
        <w:t xml:space="preserve"> park owner revenue comes from the sale of manufactured homes constructed on-site and fortnightly site rent. </w:t>
      </w:r>
      <w:r>
        <w:t xml:space="preserve">  </w:t>
      </w:r>
    </w:p>
    <w:p w14:paraId="4BB20901" w14:textId="799AC193" w:rsidR="000D18B4" w:rsidRDefault="000D18B4" w:rsidP="000D18B4">
      <w:pPr>
        <w:rPr>
          <w:bCs/>
          <w:color w:val="4BACC6" w:themeColor="accent5"/>
        </w:rPr>
      </w:pPr>
      <w:r w:rsidRPr="004C1AE3">
        <w:t xml:space="preserve">Manufactured homes </w:t>
      </w:r>
      <w:r>
        <w:t xml:space="preserve">are </w:t>
      </w:r>
      <w:r w:rsidRPr="004C1AE3">
        <w:t>expensive to move</w:t>
      </w:r>
      <w:r>
        <w:t>, which</w:t>
      </w:r>
      <w:r w:rsidRPr="004C1AE3">
        <w:t xml:space="preserve"> may make these home owners feel 'trapped' and vulnerable to increasing rents and poor service. Issues generally arise because of </w:t>
      </w:r>
      <w:r w:rsidR="003D01E2">
        <w:t>a</w:t>
      </w:r>
      <w:r w:rsidR="003D01E2" w:rsidRPr="004C1AE3">
        <w:t xml:space="preserve"> </w:t>
      </w:r>
      <w:r w:rsidRPr="004C1AE3">
        <w:t>lack of accurate contractual advice prior to moving into a park, and the difficulty and expense of moving from a park should the need arise.</w:t>
      </w:r>
      <w:r>
        <w:rPr>
          <w:bCs/>
          <w:color w:val="4BACC6" w:themeColor="accent5"/>
        </w:rPr>
        <w:t xml:space="preserve"> </w:t>
      </w:r>
    </w:p>
    <w:p w14:paraId="08104A14" w14:textId="18685056" w:rsidR="000D18B4" w:rsidRPr="00623D04" w:rsidRDefault="000D18B4" w:rsidP="000D18B4">
      <w:pPr>
        <w:pStyle w:val="Heading2"/>
      </w:pPr>
      <w:bookmarkStart w:id="1646" w:name="_Toc460257520"/>
      <w:r w:rsidRPr="00623D04">
        <w:t>Homelessness</w:t>
      </w:r>
      <w:bookmarkEnd w:id="1646"/>
    </w:p>
    <w:tbl>
      <w:tblPr>
        <w:tblStyle w:val="TableGrid"/>
        <w:tblW w:w="0" w:type="auto"/>
        <w:tblLook w:val="04A0" w:firstRow="1" w:lastRow="0" w:firstColumn="1" w:lastColumn="0" w:noHBand="0" w:noVBand="1"/>
      </w:tblPr>
      <w:tblGrid>
        <w:gridCol w:w="9322"/>
      </w:tblGrid>
      <w:tr w:rsidR="000D18B4" w14:paraId="10D128E1" w14:textId="77777777" w:rsidTr="00BA3344">
        <w:tc>
          <w:tcPr>
            <w:tcW w:w="9548" w:type="dxa"/>
          </w:tcPr>
          <w:p w14:paraId="73F68527" w14:textId="4FC3EBC8" w:rsidR="000D18B4" w:rsidRDefault="000D18B4" w:rsidP="00BA3344">
            <w:pPr>
              <w:pStyle w:val="Boxheading"/>
            </w:pPr>
            <w:r>
              <w:t>Issues</w:t>
            </w:r>
          </w:p>
          <w:p w14:paraId="109AB99F" w14:textId="41012DBF" w:rsidR="004E02D9" w:rsidRDefault="000D18B4" w:rsidP="000D28C0">
            <w:pPr>
              <w:pStyle w:val="ListParagraph"/>
              <w:numPr>
                <w:ilvl w:val="0"/>
                <w:numId w:val="7"/>
              </w:numPr>
              <w:spacing w:after="0" w:line="240" w:lineRule="auto"/>
            </w:pPr>
            <w:r w:rsidRPr="004C1AE3">
              <w:t xml:space="preserve">The 2011 Census found that there were </w:t>
            </w:r>
            <w:r w:rsidR="003D01E2">
              <w:t xml:space="preserve">approximately </w:t>
            </w:r>
            <w:r w:rsidRPr="004C1AE3">
              <w:t>3,4</w:t>
            </w:r>
            <w:r w:rsidR="003D01E2">
              <w:t>50</w:t>
            </w:r>
            <w:r w:rsidRPr="004C1AE3">
              <w:t xml:space="preserve"> homeless Queenslanders over the age of 55.</w:t>
            </w:r>
          </w:p>
          <w:p w14:paraId="535F2998" w14:textId="1C0FA710" w:rsidR="000D18B4" w:rsidRDefault="004E02D9">
            <w:pPr>
              <w:pStyle w:val="ListParagraph"/>
              <w:numPr>
                <w:ilvl w:val="0"/>
                <w:numId w:val="7"/>
              </w:numPr>
              <w:spacing w:after="0" w:line="240" w:lineRule="auto"/>
            </w:pPr>
            <w:r>
              <w:t>T</w:t>
            </w:r>
            <w:r w:rsidRPr="004E02D9">
              <w:t>here are at least two g</w:t>
            </w:r>
            <w:r>
              <w:t>roups of homeless older people – longer term homeless and recently homeless.</w:t>
            </w:r>
            <w:r w:rsidR="00B124AB">
              <w:t xml:space="preserve">  </w:t>
            </w:r>
            <w:r w:rsidR="00277C98">
              <w:t xml:space="preserve">Homeless people </w:t>
            </w:r>
            <w:r w:rsidR="00B124AB">
              <w:t xml:space="preserve">have </w:t>
            </w:r>
            <w:r w:rsidRPr="004E02D9">
              <w:t>distinct housing histories and requir</w:t>
            </w:r>
            <w:r>
              <w:t>e</w:t>
            </w:r>
            <w:r w:rsidRPr="004E02D9">
              <w:t xml:space="preserve"> different interventions</w:t>
            </w:r>
            <w:r w:rsidR="00277C98">
              <w:t>.</w:t>
            </w:r>
            <w:r w:rsidR="000D18B4" w:rsidRPr="004C1AE3">
              <w:t xml:space="preserve"> </w:t>
            </w:r>
          </w:p>
          <w:p w14:paraId="04CB92F3" w14:textId="77777777" w:rsidR="000D18B4" w:rsidRDefault="000D18B4" w:rsidP="00BA3344">
            <w:pPr>
              <w:keepNext/>
              <w:keepLines/>
              <w:spacing w:before="40"/>
              <w:outlineLvl w:val="1"/>
              <w:rPr>
                <w:rFonts w:asciiTheme="majorHAnsi" w:eastAsiaTheme="majorEastAsia" w:hAnsiTheme="majorHAnsi" w:cstheme="majorBidi"/>
                <w:b/>
                <w:sz w:val="26"/>
                <w:szCs w:val="26"/>
              </w:rPr>
            </w:pPr>
          </w:p>
        </w:tc>
      </w:tr>
    </w:tbl>
    <w:p w14:paraId="431A06D8" w14:textId="77777777" w:rsidR="000D18B4" w:rsidRDefault="000D18B4" w:rsidP="000D18B4">
      <w:pPr>
        <w:rPr>
          <w:color w:val="4BACC6" w:themeColor="accent5"/>
        </w:rPr>
      </w:pPr>
    </w:p>
    <w:p w14:paraId="45C87FF0" w14:textId="77777777" w:rsidR="00867EE6" w:rsidRPr="00867EE6" w:rsidRDefault="00867EE6" w:rsidP="00867EE6">
      <w:r w:rsidRPr="00867EE6">
        <w:t>Homelessness is a disaster for the person experiencing it. Avoiding homelessness is far better for the person in question and for the community given the cost of providing assistance. Studies have consistently shown that the cost of providing services to a homeless person considerably outweighs the cost of housing assistance needed to prevent the homelessness from occurring.</w:t>
      </w:r>
      <w:r w:rsidRPr="00867EE6">
        <w:rPr>
          <w:vertAlign w:val="superscript"/>
        </w:rPr>
        <w:footnoteReference w:id="75"/>
      </w:r>
    </w:p>
    <w:p w14:paraId="12DD7D6A" w14:textId="2CDDC23D" w:rsidR="000D18B4" w:rsidRPr="004C1AE3" w:rsidRDefault="000D18B4" w:rsidP="000D18B4">
      <w:r w:rsidRPr="004C1AE3">
        <w:t>During a series of surveys of homeless people in regional centres throughout Queensland in early 2015, 542 homeless people over the age of 50 were surveyed, making up almost 13</w:t>
      </w:r>
      <w:r w:rsidR="003D64E0">
        <w:t xml:space="preserve"> per cent</w:t>
      </w:r>
      <w:r w:rsidRPr="004C1AE3">
        <w:t xml:space="preserve"> of all people interviewed, with the oldest homeless person interviewed aged 87.</w:t>
      </w:r>
      <w:r w:rsidR="003D01E2">
        <w:t xml:space="preserve"> Their responses indicated that there are</w:t>
      </w:r>
      <w:r w:rsidRPr="004C1AE3">
        <w:t xml:space="preserve"> at least two groups of homeless older people, </w:t>
      </w:r>
      <w:r w:rsidR="003D01E2">
        <w:t xml:space="preserve">each </w:t>
      </w:r>
      <w:r w:rsidRPr="004C1AE3">
        <w:t xml:space="preserve">with </w:t>
      </w:r>
      <w:r w:rsidR="003D01E2">
        <w:t>distinct</w:t>
      </w:r>
      <w:r w:rsidR="003D01E2" w:rsidRPr="004C1AE3">
        <w:t xml:space="preserve"> </w:t>
      </w:r>
      <w:r w:rsidRPr="004C1AE3">
        <w:t xml:space="preserve">housing histories and </w:t>
      </w:r>
      <w:r w:rsidR="003D01E2">
        <w:t xml:space="preserve">each </w:t>
      </w:r>
      <w:r w:rsidR="00F36461">
        <w:t>requiring</w:t>
      </w:r>
      <w:r w:rsidR="003D01E2">
        <w:t xml:space="preserve"> </w:t>
      </w:r>
      <w:r w:rsidRPr="004C1AE3">
        <w:t>quite different interventions.</w:t>
      </w:r>
    </w:p>
    <w:p w14:paraId="562108CC" w14:textId="77777777" w:rsidR="000D18B4" w:rsidRPr="000D28C0" w:rsidRDefault="000D18B4" w:rsidP="000D28C0">
      <w:pPr>
        <w:spacing w:line="240" w:lineRule="auto"/>
        <w:rPr>
          <w:rFonts w:asciiTheme="majorHAnsi" w:hAnsiTheme="majorHAnsi"/>
          <w:sz w:val="24"/>
          <w:szCs w:val="24"/>
        </w:rPr>
      </w:pPr>
      <w:r w:rsidRPr="000D28C0">
        <w:rPr>
          <w:rFonts w:asciiTheme="majorHAnsi" w:eastAsiaTheme="majorEastAsia" w:hAnsiTheme="majorHAnsi" w:cs="Times New Roman"/>
          <w:color w:val="365F91" w:themeColor="accent1" w:themeShade="BF"/>
          <w:sz w:val="24"/>
          <w:szCs w:val="24"/>
        </w:rPr>
        <w:t>Longer term homeless older people</w:t>
      </w:r>
    </w:p>
    <w:p w14:paraId="4C5B6A47" w14:textId="471BF80F" w:rsidR="000D18B4" w:rsidRDefault="000D18B4" w:rsidP="000D18B4">
      <w:r w:rsidRPr="004C1AE3">
        <w:t xml:space="preserve">Many homeless older people have a long history of </w:t>
      </w:r>
      <w:r w:rsidR="0024244E">
        <w:t>unstable</w:t>
      </w:r>
      <w:r w:rsidR="0024244E" w:rsidRPr="004C1AE3">
        <w:t xml:space="preserve"> </w:t>
      </w:r>
      <w:r w:rsidRPr="004C1AE3">
        <w:t>or irregular housing</w:t>
      </w:r>
      <w:r w:rsidR="003D01E2">
        <w:t>. Many</w:t>
      </w:r>
      <w:r w:rsidRPr="004C1AE3">
        <w:t xml:space="preserve"> have been homelessness for long periods of their lives, and may suffer from multiple issues</w:t>
      </w:r>
      <w:r w:rsidR="003D01E2">
        <w:t>,</w:t>
      </w:r>
      <w:r w:rsidRPr="004C1AE3">
        <w:t xml:space="preserve"> such as alcohol and drug abuse, gambling problems, and poor physical and mental health. This group of homeless people require</w:t>
      </w:r>
      <w:r w:rsidR="003D01E2">
        <w:t>s</w:t>
      </w:r>
      <w:r w:rsidRPr="004C1AE3">
        <w:t xml:space="preserve"> access to stable, appropriate and accessible accommodation</w:t>
      </w:r>
      <w:r w:rsidR="003D01E2">
        <w:t>. They</w:t>
      </w:r>
      <w:r w:rsidRPr="004C1AE3">
        <w:t xml:space="preserve"> are likely to require outreach</w:t>
      </w:r>
      <w:r w:rsidR="003D01E2">
        <w:t xml:space="preserve"> and</w:t>
      </w:r>
      <w:r w:rsidRPr="004C1AE3">
        <w:t xml:space="preserve"> intensive case management, </w:t>
      </w:r>
      <w:r w:rsidR="003D01E2">
        <w:t xml:space="preserve">with </w:t>
      </w:r>
      <w:r w:rsidRPr="004C1AE3">
        <w:t>link</w:t>
      </w:r>
      <w:r w:rsidR="003D01E2">
        <w:t>s</w:t>
      </w:r>
      <w:r w:rsidRPr="004C1AE3">
        <w:t xml:space="preserve"> to multiple agencies and ongoing support. They may even require early access to aged care services.</w:t>
      </w:r>
      <w:r w:rsidRPr="004C1AE3">
        <w:rPr>
          <w:vertAlign w:val="superscript"/>
        </w:rPr>
        <w:footnoteReference w:id="76"/>
      </w:r>
    </w:p>
    <w:p w14:paraId="6A08FC68" w14:textId="1708387C" w:rsidR="000D18B4" w:rsidRPr="004C1AE3" w:rsidRDefault="000D18B4" w:rsidP="000D18B4">
      <w:r w:rsidRPr="004C1AE3">
        <w:t xml:space="preserve">Some countries have seen the development of housing specifically designed for low income and formerly homeless </w:t>
      </w:r>
      <w:r>
        <w:t>older people</w:t>
      </w:r>
      <w:r w:rsidR="003D01E2">
        <w:t>. An example is</w:t>
      </w:r>
      <w:r>
        <w:t xml:space="preserve"> the </w:t>
      </w:r>
      <w:r w:rsidRPr="004C1AE3">
        <w:t>990 Polk building in San Francisco, which offers 81 studio apartments and 29 one-bedroom apartments for low-income and formerly homeless</w:t>
      </w:r>
      <w:r>
        <w:t xml:space="preserve"> older </w:t>
      </w:r>
      <w:r>
        <w:lastRenderedPageBreak/>
        <w:t>people</w:t>
      </w:r>
      <w:r w:rsidRPr="004C1AE3">
        <w:t xml:space="preserve">. The development offers on-site resident services including case management services, outdoor gathering spaces and convenient access to neighbourhood amenities.  </w:t>
      </w:r>
    </w:p>
    <w:p w14:paraId="75C82115" w14:textId="4EE6074D" w:rsidR="000D18B4" w:rsidRDefault="000D18B4" w:rsidP="000D18B4">
      <w:r w:rsidRPr="004C1AE3">
        <w:t xml:space="preserve">Responses specifically targeted at homeless older people have been rare in Australia. </w:t>
      </w:r>
      <w:r w:rsidR="003D01E2">
        <w:t>An</w:t>
      </w:r>
      <w:r w:rsidRPr="004C1AE3">
        <w:t xml:space="preserve"> exception is Wintringham</w:t>
      </w:r>
      <w:r w:rsidR="00A31495">
        <w:t xml:space="preserve"> in Victoria</w:t>
      </w:r>
      <w:r w:rsidRPr="004C1AE3">
        <w:t xml:space="preserve">. Wintringham is a specialist aged care provider, servicing homeless older people who qualify for aged care. </w:t>
      </w:r>
      <w:r w:rsidR="003D01E2">
        <w:t>It</w:t>
      </w:r>
      <w:r w:rsidR="003D01E2" w:rsidRPr="004C1AE3">
        <w:t xml:space="preserve"> </w:t>
      </w:r>
      <w:r w:rsidRPr="004C1AE3">
        <w:t xml:space="preserve">was established in 1989 in response to the </w:t>
      </w:r>
      <w:r w:rsidR="003D01E2">
        <w:t>deaths of</w:t>
      </w:r>
      <w:r w:rsidRPr="004C1AE3">
        <w:t xml:space="preserve"> elderly men and women in homeless persons’ night shelters, unable to access mainstream aged care.</w:t>
      </w:r>
      <w:r w:rsidRPr="004C1AE3">
        <w:rPr>
          <w:rStyle w:val="FootnoteReference"/>
        </w:rPr>
        <w:footnoteReference w:id="77"/>
      </w:r>
      <w:r w:rsidRPr="004C1AE3">
        <w:t xml:space="preserve"> Wintringham now provides a range of aged care and accommodation services to older homeless people.</w:t>
      </w:r>
    </w:p>
    <w:p w14:paraId="2CC55132" w14:textId="77777777" w:rsidR="000D18B4" w:rsidRPr="000D28C0" w:rsidRDefault="000D18B4" w:rsidP="000D28C0">
      <w:pPr>
        <w:spacing w:line="240" w:lineRule="auto"/>
        <w:rPr>
          <w:rFonts w:asciiTheme="majorHAnsi" w:eastAsiaTheme="majorEastAsia" w:hAnsiTheme="majorHAnsi" w:cs="Times New Roman"/>
          <w:color w:val="365F91" w:themeColor="accent1" w:themeShade="BF"/>
          <w:sz w:val="24"/>
          <w:szCs w:val="24"/>
        </w:rPr>
      </w:pPr>
      <w:r w:rsidRPr="000D28C0">
        <w:rPr>
          <w:rFonts w:asciiTheme="majorHAnsi" w:eastAsiaTheme="majorEastAsia" w:hAnsiTheme="majorHAnsi" w:cs="Times New Roman"/>
          <w:color w:val="365F91" w:themeColor="accent1" w:themeShade="BF"/>
          <w:sz w:val="24"/>
          <w:szCs w:val="24"/>
        </w:rPr>
        <w:t>Becoming homeless in later life</w:t>
      </w:r>
    </w:p>
    <w:p w14:paraId="28C8C2D5" w14:textId="4BBB3C35" w:rsidR="000D18B4" w:rsidRPr="002D4934" w:rsidRDefault="00A31495" w:rsidP="000D18B4">
      <w:r w:rsidRPr="002D4934">
        <w:t xml:space="preserve">The second group are those who have become homeless in later life. </w:t>
      </w:r>
      <w:r w:rsidR="000D18B4" w:rsidRPr="002D4934">
        <w:t xml:space="preserve">Their homelessness has been caused by a combination of factors, vulnerabilities that increase as they age, </w:t>
      </w:r>
      <w:r>
        <w:t>which</w:t>
      </w:r>
      <w:r w:rsidRPr="002D4934">
        <w:t xml:space="preserve"> </w:t>
      </w:r>
      <w:r w:rsidR="000D18B4" w:rsidRPr="002D4934">
        <w:t xml:space="preserve">trigger events that propel them into a housing crisis </w:t>
      </w:r>
      <w:r>
        <w:t>that</w:t>
      </w:r>
      <w:r w:rsidRPr="002D4934">
        <w:t xml:space="preserve"> </w:t>
      </w:r>
      <w:r w:rsidR="000D18B4" w:rsidRPr="002D4934">
        <w:t>they are ill-equipped to deal with.</w:t>
      </w:r>
      <w:r w:rsidRPr="00A31495">
        <w:t xml:space="preserve"> </w:t>
      </w:r>
      <w:r>
        <w:t>Most become homeless</w:t>
      </w:r>
      <w:r w:rsidRPr="002D4934">
        <w:t xml:space="preserve"> </w:t>
      </w:r>
      <w:r>
        <w:t xml:space="preserve">due </w:t>
      </w:r>
      <w:r w:rsidRPr="002D4934">
        <w:t>to economic and health-related vulnerabilities experienced in the private rental market.</w:t>
      </w:r>
    </w:p>
    <w:p w14:paraId="38E72CC9" w14:textId="6901A986" w:rsidR="000D18B4" w:rsidRPr="002D4934" w:rsidRDefault="000D18B4" w:rsidP="000D18B4">
      <w:r w:rsidRPr="002D4934">
        <w:t xml:space="preserve">Research indicates that people who are homeless </w:t>
      </w:r>
      <w:r w:rsidR="00A31495">
        <w:t xml:space="preserve">for </w:t>
      </w:r>
      <w:r w:rsidRPr="002D4934">
        <w:t>the first time may have little need for ongoing support providing they are rapidly rehoused. The evidence also suggests that the greatest barrier to rapidly rehousing this group is the lack of affordable and accessible private or social rental housing.</w:t>
      </w:r>
      <w:r>
        <w:t xml:space="preserve">  P</w:t>
      </w:r>
      <w:r w:rsidRPr="002D4934">
        <w:t xml:space="preserve">eople at risk but not yet homeless need early intervention services to help them resolve their housing issues before they become critical. </w:t>
      </w:r>
    </w:p>
    <w:p w14:paraId="78F50C89" w14:textId="77777777" w:rsidR="00E2759B" w:rsidRPr="00245F3D" w:rsidRDefault="00E2759B" w:rsidP="00E2759B">
      <w:r w:rsidRPr="00245F3D">
        <w:t>Peterson et al state that: “… an essential component of prevention and rapid response is provision of housing that is both affordable and accessible and, in most cases, the most appropriate response is social housing. For people experiencing homelessness for the first time in later life who have limited histories with welfare agencies, rapid rehousing or immediately responding to their housing problem will enable them to continue independent living.”</w:t>
      </w:r>
      <w:r w:rsidRPr="00245F3D">
        <w:rPr>
          <w:vertAlign w:val="superscript"/>
        </w:rPr>
        <w:footnoteReference w:id="78"/>
      </w:r>
    </w:p>
    <w:p w14:paraId="17ADF8D5" w14:textId="20733FCA" w:rsidR="000D18B4" w:rsidRDefault="0092676B" w:rsidP="000D18B4">
      <w:r>
        <w:t>Examples</w:t>
      </w:r>
      <w:r w:rsidR="00A31495" w:rsidRPr="002D4934">
        <w:t xml:space="preserve"> </w:t>
      </w:r>
      <w:r w:rsidR="000D18B4" w:rsidRPr="002D4934">
        <w:t xml:space="preserve">exist of </w:t>
      </w:r>
      <w:r w:rsidR="00A31495">
        <w:t xml:space="preserve">homeless </w:t>
      </w:r>
      <w:r w:rsidR="000D18B4" w:rsidRPr="002D4934">
        <w:t xml:space="preserve">services that target older people. The Assistance with Care and Housing for the Aged (ACHA) program is a national specialist program </w:t>
      </w:r>
      <w:r w:rsidR="00A31495">
        <w:t>that</w:t>
      </w:r>
      <w:r w:rsidR="00A31495" w:rsidRPr="002D4934">
        <w:t xml:space="preserve"> </w:t>
      </w:r>
      <w:r w:rsidR="000D18B4" w:rsidRPr="002D4934">
        <w:t xml:space="preserve">funds agencies assisting older people experiencing or at risk of homelessness with suitable accommodation and care services. </w:t>
      </w:r>
    </w:p>
    <w:p w14:paraId="082FC6BE" w14:textId="0062FCD5" w:rsidR="000D18B4" w:rsidRDefault="000D18B4" w:rsidP="000D18B4">
      <w:r w:rsidRPr="002D4934">
        <w:t xml:space="preserve">The Queensland Government provides some services to older people at risk through its Homestay Support and RentConnect services. These services are not specifically targeted at older people. It is </w:t>
      </w:r>
      <w:r>
        <w:t>unknown</w:t>
      </w:r>
      <w:r w:rsidRPr="002D4934">
        <w:t xml:space="preserve"> whether these services are meeting the need for support of older people at risk.</w:t>
      </w:r>
      <w:r>
        <w:t xml:space="preserve">  </w:t>
      </w:r>
    </w:p>
    <w:tbl>
      <w:tblPr>
        <w:tblStyle w:val="TableGrid"/>
        <w:tblW w:w="0" w:type="auto"/>
        <w:tblLook w:val="04A0" w:firstRow="1" w:lastRow="0" w:firstColumn="1" w:lastColumn="0" w:noHBand="0" w:noVBand="1"/>
      </w:tblPr>
      <w:tblGrid>
        <w:gridCol w:w="9322"/>
      </w:tblGrid>
      <w:tr w:rsidR="000D18B4" w14:paraId="5AB45BA3" w14:textId="77777777" w:rsidTr="00BA3344">
        <w:tc>
          <w:tcPr>
            <w:tcW w:w="9548" w:type="dxa"/>
          </w:tcPr>
          <w:p w14:paraId="7BAA50DC" w14:textId="2A45E5B4" w:rsidR="000D18B4" w:rsidRDefault="007E5E1C" w:rsidP="00A54C64">
            <w:pPr>
              <w:pStyle w:val="Boxheading"/>
            </w:pPr>
            <w:r>
              <w:lastRenderedPageBreak/>
              <w:t xml:space="preserve">7.11 </w:t>
            </w:r>
            <w:r w:rsidR="000D18B4" w:rsidRPr="00500DEE">
              <w:t xml:space="preserve">Recommendations </w:t>
            </w:r>
            <w:r w:rsidR="000D18B4">
              <w:t>–</w:t>
            </w:r>
            <w:r w:rsidR="000D18B4" w:rsidRPr="00500DEE">
              <w:t xml:space="preserve"> </w:t>
            </w:r>
            <w:r w:rsidR="000D18B4">
              <w:t xml:space="preserve">Suitable </w:t>
            </w:r>
            <w:r w:rsidR="000E5CD9">
              <w:t>h</w:t>
            </w:r>
            <w:r w:rsidR="000D18B4">
              <w:t xml:space="preserve">ousing </w:t>
            </w:r>
            <w:r w:rsidR="000E5CD9">
              <w:t>o</w:t>
            </w:r>
            <w:r w:rsidR="000D18B4">
              <w:t>ptions</w:t>
            </w:r>
            <w:r w:rsidR="000D18B4" w:rsidRPr="00500DEE">
              <w:t xml:space="preserve"> </w:t>
            </w:r>
          </w:p>
          <w:p w14:paraId="62480E71" w14:textId="339C4EA8" w:rsidR="000E5CD9" w:rsidRDefault="000E5CD9" w:rsidP="00610E6C">
            <w:pPr>
              <w:pStyle w:val="TableofFigures"/>
              <w:numPr>
                <w:ilvl w:val="0"/>
                <w:numId w:val="48"/>
              </w:numPr>
            </w:pPr>
            <w:r w:rsidRPr="00BA562C">
              <w:t>That</w:t>
            </w:r>
            <w:r>
              <w:t xml:space="preserve"> the Queensland Government develop a strategic plan to develop and enact suitable housing options for current and emerging older people. The plan </w:t>
            </w:r>
            <w:r w:rsidR="00A16579">
              <w:t>c</w:t>
            </w:r>
            <w:r>
              <w:t>ould include:</w:t>
            </w:r>
          </w:p>
          <w:p w14:paraId="015F01E3" w14:textId="77777777" w:rsidR="000E5CD9" w:rsidRDefault="000E5CD9" w:rsidP="004363AF">
            <w:pPr>
              <w:pStyle w:val="ListParagraph"/>
              <w:numPr>
                <w:ilvl w:val="0"/>
                <w:numId w:val="34"/>
              </w:numPr>
              <w:spacing w:line="256" w:lineRule="auto"/>
            </w:pPr>
            <w:r>
              <w:t>facilitating and enacting new housing typologies and planning regimes with particular emphasis on developing senior housing options embedded within established communities</w:t>
            </w:r>
          </w:p>
          <w:p w14:paraId="34D8061B" w14:textId="77777777" w:rsidR="000E5CD9" w:rsidRDefault="000E5CD9" w:rsidP="004363AF">
            <w:pPr>
              <w:pStyle w:val="ListParagraph"/>
              <w:numPr>
                <w:ilvl w:val="0"/>
                <w:numId w:val="34"/>
              </w:numPr>
              <w:spacing w:after="0" w:line="256" w:lineRule="auto"/>
            </w:pPr>
            <w:r>
              <w:t>using its land holdings to deliver exemplar community developments that deliver diverse housing options</w:t>
            </w:r>
          </w:p>
          <w:p w14:paraId="5E6F0CD4" w14:textId="77777777" w:rsidR="000E5CD9" w:rsidRPr="00277C98" w:rsidRDefault="000E5CD9" w:rsidP="004363AF">
            <w:pPr>
              <w:pStyle w:val="ListParagraph"/>
              <w:numPr>
                <w:ilvl w:val="0"/>
                <w:numId w:val="34"/>
              </w:numPr>
              <w:spacing w:after="0" w:line="256" w:lineRule="auto"/>
              <w:rPr>
                <w:rFonts w:eastAsiaTheme="minorEastAsia"/>
                <w:lang w:eastAsia="en-AU"/>
              </w:rPr>
            </w:pPr>
            <w:r w:rsidRPr="00277C98">
              <w:t>exploring</w:t>
            </w:r>
            <w:r>
              <w:t xml:space="preserve"> options for providing incentives to organisations for the provision of housing where an identified need for housing is established in a regional or remote community </w:t>
            </w:r>
          </w:p>
          <w:p w14:paraId="654C103F" w14:textId="77777777" w:rsidR="000E5CD9" w:rsidRDefault="000E5CD9" w:rsidP="004363AF">
            <w:pPr>
              <w:pStyle w:val="ListParagraph"/>
              <w:numPr>
                <w:ilvl w:val="0"/>
                <w:numId w:val="34"/>
              </w:numPr>
              <w:spacing w:after="0" w:line="256" w:lineRule="auto"/>
            </w:pPr>
            <w:r>
              <w:t xml:space="preserve">developing mechanisms for building links and partnerships between government, universities, industry and community to promote research and innovation in housing design for older people through the </w:t>
            </w:r>
            <w:r>
              <w:rPr>
                <w:i/>
              </w:rPr>
              <w:t xml:space="preserve">Advance Queensland </w:t>
            </w:r>
            <w:r>
              <w:t xml:space="preserve">Strategy or the </w:t>
            </w:r>
            <w:r>
              <w:rPr>
                <w:i/>
              </w:rPr>
              <w:t>Advancing Queensland: an age-friendly community</w:t>
            </w:r>
            <w:r>
              <w:t xml:space="preserve"> grants program</w:t>
            </w:r>
          </w:p>
          <w:p w14:paraId="32182059" w14:textId="77777777" w:rsidR="000E5CD9" w:rsidRPr="005265E1" w:rsidRDefault="000E5CD9" w:rsidP="004363AF">
            <w:pPr>
              <w:pStyle w:val="ListParagraph"/>
              <w:numPr>
                <w:ilvl w:val="0"/>
                <w:numId w:val="34"/>
              </w:numPr>
              <w:spacing w:after="0" w:line="256" w:lineRule="auto"/>
              <w:rPr>
                <w:color w:val="0000FF" w:themeColor="hyperlink"/>
                <w:u w:val="single"/>
              </w:rPr>
            </w:pPr>
            <w:r w:rsidRPr="002C34EC">
              <w:t xml:space="preserve">engaging or partnering with private equity firms, superannuation and affinity organisations to </w:t>
            </w:r>
            <w:r>
              <w:t>encourage and facilitate their investment, including social impact investment, in affordable and accessible housing to older people</w:t>
            </w:r>
          </w:p>
          <w:p w14:paraId="629DB98A" w14:textId="77E0D9B7" w:rsidR="000E5CD9" w:rsidRDefault="00BA562C" w:rsidP="004363AF">
            <w:pPr>
              <w:pStyle w:val="ListParagraph"/>
              <w:numPr>
                <w:ilvl w:val="0"/>
                <w:numId w:val="34"/>
              </w:numPr>
              <w:spacing w:after="0" w:line="256" w:lineRule="auto"/>
            </w:pPr>
            <w:r>
              <w:t>evaluating</w:t>
            </w:r>
            <w:r w:rsidR="000E5CD9" w:rsidRPr="00277C98">
              <w:t xml:space="preserve"> the Ageing in Place Pilot</w:t>
            </w:r>
            <w:r w:rsidR="00277C98">
              <w:rPr>
                <w:rStyle w:val="FootnoteReference"/>
              </w:rPr>
              <w:footnoteReference w:id="79"/>
            </w:r>
            <w:r w:rsidR="000E5CD9" w:rsidRPr="00277C98">
              <w:t xml:space="preserve"> project and considering options for broader implementation</w:t>
            </w:r>
          </w:p>
          <w:p w14:paraId="57E3E0B6" w14:textId="7F58AB6C" w:rsidR="000E5CD9" w:rsidRDefault="00BA562C" w:rsidP="004363AF">
            <w:pPr>
              <w:pStyle w:val="ListParagraph"/>
              <w:numPr>
                <w:ilvl w:val="0"/>
                <w:numId w:val="34"/>
              </w:numPr>
              <w:spacing w:after="0" w:line="256" w:lineRule="auto"/>
            </w:pPr>
            <w:r>
              <w:t xml:space="preserve">expanding </w:t>
            </w:r>
            <w:r w:rsidR="000E5CD9" w:rsidRPr="00277C98">
              <w:t>the community housing head lease scheme to other seniors housing types, including manufactured homes and retirement villages (for vulnerable or disadvantaged older people)</w:t>
            </w:r>
          </w:p>
          <w:p w14:paraId="5C309070" w14:textId="622C76EA" w:rsidR="000E5CD9" w:rsidRDefault="00BA562C" w:rsidP="004363AF">
            <w:pPr>
              <w:pStyle w:val="ListParagraph"/>
              <w:numPr>
                <w:ilvl w:val="0"/>
                <w:numId w:val="34"/>
              </w:numPr>
              <w:spacing w:after="0" w:line="256" w:lineRule="auto"/>
              <w:rPr>
                <w:noProof/>
              </w:rPr>
            </w:pPr>
            <w:r>
              <w:t xml:space="preserve">stimulating </w:t>
            </w:r>
            <w:r w:rsidR="000E5CD9">
              <w:t xml:space="preserve">connections with community hubs to facilitate interconnections and engagement amongst and between children, young, middle-aged and older people and families through the </w:t>
            </w:r>
            <w:r w:rsidR="000E5CD9" w:rsidRPr="00BA562C">
              <w:rPr>
                <w:i/>
              </w:rPr>
              <w:t>Advancing Queensland: an age-friendly community</w:t>
            </w:r>
            <w:r w:rsidR="000E5CD9">
              <w:t xml:space="preserve"> grants program.</w:t>
            </w:r>
          </w:p>
          <w:p w14:paraId="1481C9F8" w14:textId="77777777" w:rsidR="00BA562C" w:rsidRDefault="00BA562C" w:rsidP="005265E1">
            <w:pPr>
              <w:spacing w:after="0" w:line="256" w:lineRule="auto"/>
              <w:rPr>
                <w:noProof/>
              </w:rPr>
            </w:pPr>
          </w:p>
          <w:p w14:paraId="4E220F39" w14:textId="77777777" w:rsidR="000E5CD9" w:rsidRPr="00A54C64" w:rsidRDefault="000E5CD9" w:rsidP="00610E6C">
            <w:pPr>
              <w:pStyle w:val="TableofFigures"/>
              <w:numPr>
                <w:ilvl w:val="0"/>
                <w:numId w:val="48"/>
              </w:numPr>
              <w:rPr>
                <w:rStyle w:val="Hyperlink"/>
                <w:color w:val="000000" w:themeColor="text1"/>
              </w:rPr>
            </w:pPr>
            <w:r w:rsidRPr="00A54C64">
              <w:t>That the Queensland Government and local governments actively pursue innovative partnerships and use planning mechanisms to facilitate and deliver new models of affordable housing for vulnerable older people to:</w:t>
            </w:r>
          </w:p>
          <w:p w14:paraId="0BAEE530" w14:textId="77777777" w:rsidR="000E5CD9" w:rsidRDefault="000E5CD9" w:rsidP="004363AF">
            <w:pPr>
              <w:numPr>
                <w:ilvl w:val="1"/>
                <w:numId w:val="35"/>
              </w:numPr>
              <w:spacing w:after="0" w:line="240" w:lineRule="auto"/>
              <w:ind w:left="723"/>
              <w:contextualSpacing/>
            </w:pPr>
            <w:r>
              <w:t>support a range of diverse housing options</w:t>
            </w:r>
          </w:p>
          <w:p w14:paraId="4F9B0FFE" w14:textId="77777777" w:rsidR="000E5CD9" w:rsidRDefault="000E5CD9" w:rsidP="004363AF">
            <w:pPr>
              <w:numPr>
                <w:ilvl w:val="1"/>
                <w:numId w:val="35"/>
              </w:numPr>
              <w:spacing w:after="0" w:line="240" w:lineRule="auto"/>
              <w:ind w:left="723"/>
              <w:contextualSpacing/>
            </w:pPr>
            <w:r>
              <w:t xml:space="preserve">innovate in the use and availability of land </w:t>
            </w:r>
          </w:p>
          <w:p w14:paraId="0AC16DE6" w14:textId="77777777" w:rsidR="000E5CD9" w:rsidRDefault="000E5CD9" w:rsidP="004363AF">
            <w:pPr>
              <w:numPr>
                <w:ilvl w:val="1"/>
                <w:numId w:val="35"/>
              </w:numPr>
              <w:spacing w:after="0" w:line="240" w:lineRule="auto"/>
              <w:ind w:left="723"/>
              <w:contextualSpacing/>
            </w:pPr>
            <w:r>
              <w:t xml:space="preserve">minimise the timeframes and costs imposed through the planning approval process </w:t>
            </w:r>
          </w:p>
          <w:p w14:paraId="39A1D63D" w14:textId="77777777" w:rsidR="000E5CD9" w:rsidRDefault="000E5CD9" w:rsidP="004363AF">
            <w:pPr>
              <w:numPr>
                <w:ilvl w:val="1"/>
                <w:numId w:val="35"/>
              </w:numPr>
              <w:spacing w:after="0" w:line="240" w:lineRule="auto"/>
              <w:ind w:left="723"/>
              <w:contextualSpacing/>
            </w:pPr>
            <w:r>
              <w:t>consider design innovations to encourage development of smaller, affordable and better-located housing</w:t>
            </w:r>
          </w:p>
          <w:p w14:paraId="10A4B928" w14:textId="7CFEF92D" w:rsidR="000E5CD9" w:rsidRDefault="000E5CD9" w:rsidP="004363AF">
            <w:pPr>
              <w:numPr>
                <w:ilvl w:val="1"/>
                <w:numId w:val="35"/>
              </w:numPr>
              <w:spacing w:after="0" w:line="240" w:lineRule="auto"/>
              <w:ind w:left="723"/>
              <w:contextualSpacing/>
            </w:pPr>
            <w:r>
              <w:t xml:space="preserve">use incentives and other strategies to significantly increase the delivery of </w:t>
            </w:r>
            <w:r w:rsidR="00CF53F0">
              <w:t xml:space="preserve">affordable </w:t>
            </w:r>
            <w:r w:rsidR="00AB21C2">
              <w:t>and accessible housing</w:t>
            </w:r>
            <w:r>
              <w:t xml:space="preserve"> </w:t>
            </w:r>
          </w:p>
          <w:p w14:paraId="1A5FE297" w14:textId="77777777" w:rsidR="000E5CD9" w:rsidRDefault="000E5CD9" w:rsidP="004363AF">
            <w:pPr>
              <w:pStyle w:val="ListParagraph"/>
              <w:numPr>
                <w:ilvl w:val="0"/>
                <w:numId w:val="36"/>
              </w:numPr>
              <w:spacing w:line="256" w:lineRule="auto"/>
            </w:pPr>
            <w:r>
              <w:t xml:space="preserve">provide incentives for diverse age-friendly housing, for example: </w:t>
            </w:r>
          </w:p>
          <w:p w14:paraId="6B847107" w14:textId="77777777" w:rsidR="000E5CD9" w:rsidRDefault="000E5CD9" w:rsidP="00A54C64">
            <w:pPr>
              <w:pStyle w:val="ListParagraph"/>
              <w:numPr>
                <w:ilvl w:val="1"/>
                <w:numId w:val="36"/>
              </w:numPr>
              <w:spacing w:line="256" w:lineRule="auto"/>
              <w:ind w:left="1134"/>
            </w:pPr>
            <w:r>
              <w:t>seniors’ clusters housing (involving a small number of dwellings built around a common green space)</w:t>
            </w:r>
          </w:p>
          <w:p w14:paraId="52F0FFE5" w14:textId="77777777" w:rsidR="000E5CD9" w:rsidRDefault="000E5CD9" w:rsidP="00A54C64">
            <w:pPr>
              <w:pStyle w:val="ListParagraph"/>
              <w:numPr>
                <w:ilvl w:val="1"/>
                <w:numId w:val="36"/>
              </w:numPr>
              <w:spacing w:line="256" w:lineRule="auto"/>
              <w:ind w:left="1134"/>
            </w:pPr>
            <w:r>
              <w:t>co-housing (private homes supplemented by shared facilities)</w:t>
            </w:r>
          </w:p>
          <w:p w14:paraId="0295D2D4" w14:textId="77777777" w:rsidR="000E5CD9" w:rsidRDefault="000E5CD9" w:rsidP="00A54C64">
            <w:pPr>
              <w:pStyle w:val="ListParagraph"/>
              <w:numPr>
                <w:ilvl w:val="1"/>
                <w:numId w:val="36"/>
              </w:numPr>
              <w:spacing w:line="256" w:lineRule="auto"/>
              <w:ind w:left="1134"/>
            </w:pPr>
            <w:r>
              <w:t>‘apartments for life’ (apartment complexes run by independent older people offering services as needed, including medical, daily care, recreational, educational and social, up to and including nursing home-type care)</w:t>
            </w:r>
          </w:p>
          <w:p w14:paraId="48C5D24D" w14:textId="5EDAD9A1" w:rsidR="000E5CD9" w:rsidRDefault="000E5CD9" w:rsidP="00A54C64">
            <w:pPr>
              <w:pStyle w:val="ListParagraph"/>
              <w:numPr>
                <w:ilvl w:val="1"/>
                <w:numId w:val="36"/>
              </w:numPr>
              <w:spacing w:after="0" w:line="256" w:lineRule="auto"/>
              <w:ind w:left="1134"/>
            </w:pPr>
            <w:r>
              <w:t>development of ‘naturally occurring retirement communities’ (NORCs) and ‘virtual retirement villages’</w:t>
            </w:r>
          </w:p>
          <w:p w14:paraId="6821B228" w14:textId="0CDBE18A" w:rsidR="000E5CD9" w:rsidRPr="00BA562C" w:rsidRDefault="000E5CD9" w:rsidP="00E338E7">
            <w:pPr>
              <w:pStyle w:val="ListParagraph"/>
              <w:numPr>
                <w:ilvl w:val="0"/>
                <w:numId w:val="47"/>
              </w:numPr>
              <w:rPr>
                <w:rFonts w:eastAsiaTheme="minorEastAsia"/>
                <w:lang w:eastAsia="en-AU"/>
              </w:rPr>
            </w:pPr>
            <w:r w:rsidRPr="00BA562C">
              <w:t>provide</w:t>
            </w:r>
            <w:r w:rsidR="00BA562C">
              <w:t xml:space="preserve"> </w:t>
            </w:r>
            <w:r>
              <w:t>incentives or concessions and lower barriers for retrofitting or providing new housing for older people as part of an age-friendly approach.</w:t>
            </w:r>
          </w:p>
          <w:p w14:paraId="6FBCA5BC" w14:textId="77777777" w:rsidR="000E5CD9" w:rsidRDefault="000E5CD9" w:rsidP="00610E6C">
            <w:pPr>
              <w:pStyle w:val="TableofFigures"/>
              <w:numPr>
                <w:ilvl w:val="0"/>
                <w:numId w:val="48"/>
              </w:numPr>
            </w:pPr>
            <w:r>
              <w:t xml:space="preserve">That the Queensland Government, as part of development of the new housing strategy, consider the current regulatory framework for seniors living, including retirement villages and </w:t>
            </w:r>
            <w:r>
              <w:lastRenderedPageBreak/>
              <w:t>manufactured homes, as a platform for development of new legislative models for housing options for the ageing population.</w:t>
            </w:r>
          </w:p>
          <w:p w14:paraId="332F0B25" w14:textId="77777777" w:rsidR="000E5CD9" w:rsidRPr="00A54C64" w:rsidRDefault="000E5CD9" w:rsidP="00610E6C">
            <w:pPr>
              <w:pStyle w:val="TableofFigures"/>
              <w:numPr>
                <w:ilvl w:val="0"/>
                <w:numId w:val="48"/>
              </w:numPr>
              <w:rPr>
                <w:rStyle w:val="Hyperlink"/>
                <w:color w:val="000000" w:themeColor="text1"/>
              </w:rPr>
            </w:pPr>
            <w:r w:rsidRPr="00A54C64">
              <w:t>Establish an ongoing roundtable of industry, financial institutions, universities, government, consumers and other stakeholders to develop financial models and products that:</w:t>
            </w:r>
          </w:p>
          <w:p w14:paraId="2ECB4902" w14:textId="77777777" w:rsidR="000E5CD9" w:rsidRPr="00A54C64" w:rsidRDefault="000E5CD9" w:rsidP="004363AF">
            <w:pPr>
              <w:numPr>
                <w:ilvl w:val="1"/>
                <w:numId w:val="35"/>
              </w:numPr>
              <w:spacing w:after="0" w:line="240" w:lineRule="auto"/>
              <w:ind w:left="723"/>
              <w:contextualSpacing/>
              <w:rPr>
                <w:color w:val="000000" w:themeColor="text1"/>
              </w:rPr>
            </w:pPr>
            <w:r w:rsidRPr="00A54C64">
              <w:rPr>
                <w:color w:val="000000" w:themeColor="text1"/>
              </w:rPr>
              <w:t>allow and encourage older people to right-size and/or age in place</w:t>
            </w:r>
          </w:p>
          <w:p w14:paraId="47BC9EE7" w14:textId="77777777" w:rsidR="000E5CD9" w:rsidRPr="00A54C64" w:rsidRDefault="000E5CD9" w:rsidP="004363AF">
            <w:pPr>
              <w:numPr>
                <w:ilvl w:val="1"/>
                <w:numId w:val="35"/>
              </w:numPr>
              <w:spacing w:after="0" w:line="240" w:lineRule="auto"/>
              <w:ind w:left="723"/>
              <w:contextualSpacing/>
              <w:rPr>
                <w:color w:val="000000" w:themeColor="text1"/>
              </w:rPr>
            </w:pPr>
            <w:r w:rsidRPr="00A54C64">
              <w:rPr>
                <w:color w:val="000000" w:themeColor="text1"/>
              </w:rPr>
              <w:t>are well understood, allowing people to make informed and confident choices</w:t>
            </w:r>
          </w:p>
          <w:p w14:paraId="2A28E135" w14:textId="77777777" w:rsidR="000E5CD9" w:rsidRPr="00A54C64" w:rsidRDefault="000E5CD9" w:rsidP="004363AF">
            <w:pPr>
              <w:numPr>
                <w:ilvl w:val="1"/>
                <w:numId w:val="35"/>
              </w:numPr>
              <w:spacing w:line="240" w:lineRule="auto"/>
              <w:ind w:left="723"/>
              <w:contextualSpacing/>
              <w:rPr>
                <w:color w:val="000000" w:themeColor="text1"/>
              </w:rPr>
            </w:pPr>
            <w:r w:rsidRPr="00A54C64">
              <w:rPr>
                <w:color w:val="000000" w:themeColor="text1"/>
              </w:rPr>
              <w:t>have regulation and other safeguards to protect older people from negative outcomes.</w:t>
            </w:r>
          </w:p>
          <w:p w14:paraId="7D546732" w14:textId="77777777" w:rsidR="000E5CD9" w:rsidRPr="00A54C64" w:rsidRDefault="000E5CD9" w:rsidP="00610E6C">
            <w:pPr>
              <w:pStyle w:val="TableofFigures"/>
              <w:numPr>
                <w:ilvl w:val="0"/>
                <w:numId w:val="48"/>
              </w:numPr>
            </w:pPr>
            <w:r w:rsidRPr="00A54C64">
              <w:t>That the Queensland Government advocate to the Australian Government on:</w:t>
            </w:r>
          </w:p>
          <w:p w14:paraId="2A07EB2B" w14:textId="77777777" w:rsidR="000E5CD9" w:rsidRPr="00A54C64" w:rsidRDefault="000E5CD9" w:rsidP="004363AF">
            <w:pPr>
              <w:numPr>
                <w:ilvl w:val="1"/>
                <w:numId w:val="35"/>
              </w:numPr>
              <w:spacing w:after="0" w:line="240" w:lineRule="auto"/>
              <w:ind w:left="723"/>
              <w:contextualSpacing/>
              <w:rPr>
                <w:color w:val="000000" w:themeColor="text1"/>
              </w:rPr>
            </w:pPr>
            <w:r w:rsidRPr="00A54C64">
              <w:rPr>
                <w:color w:val="000000" w:themeColor="text1"/>
              </w:rPr>
              <w:t>reinstating the National Rental Affordability Scheme (NRAS) or initiate a similar program as a means of providing affordable housing accessible to vulnerable or disadvantaged older people</w:t>
            </w:r>
          </w:p>
          <w:p w14:paraId="0CD589CB" w14:textId="77777777" w:rsidR="000E5CD9" w:rsidRPr="00A54C64" w:rsidRDefault="000E5CD9" w:rsidP="004363AF">
            <w:pPr>
              <w:numPr>
                <w:ilvl w:val="1"/>
                <w:numId w:val="35"/>
              </w:numPr>
              <w:spacing w:after="0" w:line="240" w:lineRule="auto"/>
              <w:ind w:left="723"/>
              <w:contextualSpacing/>
              <w:rPr>
                <w:color w:val="000000" w:themeColor="text1"/>
                <w:u w:val="single"/>
              </w:rPr>
            </w:pPr>
            <w:r w:rsidRPr="00A54C64">
              <w:rPr>
                <w:color w:val="000000" w:themeColor="text1"/>
              </w:rPr>
              <w:t>exploring options for innovation in full care accommodation and affordable housing for long term homeless older people, such as the ‘Wintringham model’.</w:t>
            </w:r>
          </w:p>
          <w:p w14:paraId="7713FAEC" w14:textId="77777777" w:rsidR="000E5CD9" w:rsidRPr="00A54C64" w:rsidRDefault="000E5CD9" w:rsidP="000E5CD9">
            <w:pPr>
              <w:spacing w:after="0" w:line="240" w:lineRule="auto"/>
              <w:ind w:left="723"/>
              <w:contextualSpacing/>
              <w:rPr>
                <w:rStyle w:val="Hyperlink"/>
                <w:color w:val="000000" w:themeColor="text1"/>
              </w:rPr>
            </w:pPr>
          </w:p>
          <w:p w14:paraId="622E0605" w14:textId="0149C550" w:rsidR="000E5CD9" w:rsidRPr="00A54C64" w:rsidRDefault="000E5CD9" w:rsidP="00610E6C">
            <w:pPr>
              <w:pStyle w:val="TableofFigures"/>
              <w:numPr>
                <w:ilvl w:val="0"/>
                <w:numId w:val="48"/>
              </w:numPr>
            </w:pPr>
            <w:r w:rsidRPr="00A54C64">
              <w:t>That the Queensland Government consider the work of the Affordable Housing Working Group, established by the Australian Government, in identifying models to increase the supply of affordable housing for vulnerable or disadvantaged people.</w:t>
            </w:r>
          </w:p>
          <w:p w14:paraId="7AAD0561" w14:textId="77777777" w:rsidR="000D18B4" w:rsidRDefault="000D18B4" w:rsidP="00BA3344"/>
        </w:tc>
      </w:tr>
    </w:tbl>
    <w:p w14:paraId="542C70BA" w14:textId="77777777" w:rsidR="000D18B4" w:rsidRDefault="000D18B4" w:rsidP="000D18B4">
      <w:r>
        <w:lastRenderedPageBreak/>
        <w:br w:type="page"/>
      </w:r>
    </w:p>
    <w:p w14:paraId="47ED7AB8" w14:textId="178721E7" w:rsidR="000D18B4" w:rsidRPr="001B0F30" w:rsidRDefault="001A72FC" w:rsidP="000D18B4">
      <w:pPr>
        <w:pStyle w:val="Heading1"/>
        <w:rPr>
          <w:rFonts w:eastAsia="Times New Roman"/>
        </w:rPr>
      </w:pPr>
      <w:bookmarkStart w:id="1647" w:name="_Toc460257521"/>
      <w:r>
        <w:rPr>
          <w:rFonts w:eastAsia="Times New Roman"/>
        </w:rPr>
        <w:lastRenderedPageBreak/>
        <w:t>FINDINGS – SUITABLE LOCAL COMMUNITY SERVICES</w:t>
      </w:r>
      <w:bookmarkEnd w:id="1647"/>
    </w:p>
    <w:p w14:paraId="7C89B4F0" w14:textId="230B6C31" w:rsidR="000D18B4" w:rsidRPr="003E19A8" w:rsidRDefault="000D18B4" w:rsidP="000D18B4">
      <w:pPr>
        <w:spacing w:line="240" w:lineRule="auto"/>
        <w:rPr>
          <w:rFonts w:eastAsia="Times New Roman" w:cs="Times New Roman"/>
          <w:color w:val="4F81BD" w:themeColor="accent1"/>
        </w:rPr>
      </w:pPr>
      <w:r w:rsidRPr="003E19A8">
        <w:rPr>
          <w:rFonts w:eastAsia="Times New Roman" w:cs="Times New Roman"/>
          <w:color w:val="4F81BD" w:themeColor="accent1"/>
        </w:rPr>
        <w:t xml:space="preserve">Suitable </w:t>
      </w:r>
      <w:r w:rsidR="004E02D9">
        <w:rPr>
          <w:rFonts w:eastAsia="Times New Roman" w:cs="Times New Roman"/>
          <w:color w:val="4F81BD" w:themeColor="accent1"/>
        </w:rPr>
        <w:t>l</w:t>
      </w:r>
      <w:r w:rsidRPr="003E19A8">
        <w:rPr>
          <w:rFonts w:eastAsia="Times New Roman" w:cs="Times New Roman"/>
          <w:color w:val="4F81BD" w:themeColor="accent1"/>
        </w:rPr>
        <w:t xml:space="preserve">ocal </w:t>
      </w:r>
      <w:r w:rsidR="004E02D9">
        <w:rPr>
          <w:rFonts w:eastAsia="Times New Roman" w:cs="Times New Roman"/>
          <w:color w:val="4F81BD" w:themeColor="accent1"/>
        </w:rPr>
        <w:t>c</w:t>
      </w:r>
      <w:r w:rsidRPr="003E19A8">
        <w:rPr>
          <w:rFonts w:eastAsia="Times New Roman" w:cs="Times New Roman"/>
          <w:color w:val="4F81BD" w:themeColor="accent1"/>
        </w:rPr>
        <w:t xml:space="preserve">ommunity </w:t>
      </w:r>
      <w:r w:rsidR="004E02D9">
        <w:rPr>
          <w:rFonts w:eastAsia="Times New Roman" w:cs="Times New Roman"/>
          <w:color w:val="4F81BD" w:themeColor="accent1"/>
        </w:rPr>
        <w:t>s</w:t>
      </w:r>
      <w:r w:rsidRPr="003E19A8">
        <w:rPr>
          <w:rFonts w:eastAsia="Times New Roman" w:cs="Times New Roman"/>
          <w:color w:val="4F81BD" w:themeColor="accent1"/>
        </w:rPr>
        <w:t>ervices refers to the variety of services required to support people to age in place, including the supply, quality and accessibility of services, and how well they are integrated into the local community.</w:t>
      </w:r>
    </w:p>
    <w:p w14:paraId="49EF620F" w14:textId="77777777" w:rsidR="000D18B4" w:rsidRPr="000D28C0" w:rsidRDefault="000D18B4" w:rsidP="000D18B4">
      <w:pPr>
        <w:spacing w:line="240" w:lineRule="auto"/>
        <w:rPr>
          <w:rFonts w:asciiTheme="majorHAnsi" w:eastAsiaTheme="majorEastAsia" w:hAnsiTheme="majorHAnsi" w:cs="Times New Roman"/>
          <w:color w:val="365F91" w:themeColor="accent1" w:themeShade="BF"/>
          <w:sz w:val="26"/>
          <w:szCs w:val="26"/>
        </w:rPr>
      </w:pPr>
      <w:r w:rsidRPr="000D28C0">
        <w:rPr>
          <w:rFonts w:asciiTheme="majorHAnsi" w:eastAsiaTheme="majorEastAsia" w:hAnsiTheme="majorHAnsi" w:cs="Times New Roman"/>
          <w:color w:val="365F91" w:themeColor="accent1" w:themeShade="BF"/>
          <w:sz w:val="26"/>
          <w:szCs w:val="26"/>
        </w:rPr>
        <w:t>What success looks like</w:t>
      </w:r>
    </w:p>
    <w:p w14:paraId="7F91B17D" w14:textId="0E8264BE" w:rsidR="000D18B4" w:rsidRPr="001B0F30" w:rsidRDefault="000D18B4" w:rsidP="000D18B4">
      <w:pPr>
        <w:spacing w:line="240" w:lineRule="auto"/>
        <w:rPr>
          <w:rFonts w:eastAsia="Times New Roman" w:cs="Times New Roman"/>
        </w:rPr>
      </w:pPr>
      <w:r w:rsidRPr="001B0F30">
        <w:rPr>
          <w:rFonts w:eastAsia="Times New Roman" w:cs="Times New Roman"/>
        </w:rPr>
        <w:t xml:space="preserve">Older Queenslanders can confidently access the range of services they need to support them to age in place. These services are available in an older person’s local area, including rural and remote Queensland, and </w:t>
      </w:r>
      <w:r w:rsidR="004E02D9">
        <w:rPr>
          <w:rFonts w:eastAsia="Times New Roman" w:cs="Times New Roman"/>
        </w:rPr>
        <w:t>ar</w:t>
      </w:r>
      <w:r w:rsidRPr="001B0F30">
        <w:rPr>
          <w:rFonts w:eastAsia="Times New Roman" w:cs="Times New Roman"/>
        </w:rPr>
        <w:t>e accessible to people from all relevant backgrounds in the community including</w:t>
      </w:r>
      <w:r>
        <w:rPr>
          <w:rFonts w:eastAsia="Times New Roman" w:cs="Times New Roman"/>
        </w:rPr>
        <w:t xml:space="preserve"> but not limited to</w:t>
      </w:r>
      <w:r w:rsidRPr="001B0F30">
        <w:rPr>
          <w:rFonts w:eastAsia="Times New Roman" w:cs="Times New Roman"/>
        </w:rPr>
        <w:t>: Aboriginal peoples and Torres Strait Islander peoples; people from culturally and linguistically diverse backgrounds; people who identify as L</w:t>
      </w:r>
      <w:r>
        <w:rPr>
          <w:rFonts w:eastAsia="Times New Roman" w:cs="Times New Roman"/>
        </w:rPr>
        <w:t xml:space="preserve">esbian, </w:t>
      </w:r>
      <w:r w:rsidRPr="001B0F30">
        <w:rPr>
          <w:rFonts w:eastAsia="Times New Roman" w:cs="Times New Roman"/>
        </w:rPr>
        <w:t>G</w:t>
      </w:r>
      <w:r>
        <w:rPr>
          <w:rFonts w:eastAsia="Times New Roman" w:cs="Times New Roman"/>
        </w:rPr>
        <w:t xml:space="preserve">ay, </w:t>
      </w:r>
      <w:r w:rsidRPr="001B0F30">
        <w:rPr>
          <w:rFonts w:eastAsia="Times New Roman" w:cs="Times New Roman"/>
        </w:rPr>
        <w:t>B</w:t>
      </w:r>
      <w:r>
        <w:rPr>
          <w:rFonts w:eastAsia="Times New Roman" w:cs="Times New Roman"/>
        </w:rPr>
        <w:t xml:space="preserve">isexual, </w:t>
      </w:r>
      <w:r w:rsidRPr="001B0F30">
        <w:rPr>
          <w:rFonts w:eastAsia="Times New Roman" w:cs="Times New Roman"/>
        </w:rPr>
        <w:t>T</w:t>
      </w:r>
      <w:r>
        <w:rPr>
          <w:rFonts w:eastAsia="Times New Roman" w:cs="Times New Roman"/>
        </w:rPr>
        <w:t xml:space="preserve">rans </w:t>
      </w:r>
      <w:r w:rsidR="00106F96">
        <w:rPr>
          <w:rFonts w:eastAsia="Times New Roman" w:cs="Times New Roman"/>
        </w:rPr>
        <w:t>and/</w:t>
      </w:r>
      <w:r>
        <w:rPr>
          <w:rFonts w:eastAsia="Times New Roman" w:cs="Times New Roman"/>
        </w:rPr>
        <w:t>or Intersex</w:t>
      </w:r>
      <w:r w:rsidR="00A16579">
        <w:rPr>
          <w:rFonts w:eastAsia="Times New Roman" w:cs="Times New Roman"/>
        </w:rPr>
        <w:t xml:space="preserve"> (LGBTI)</w:t>
      </w:r>
      <w:r w:rsidRPr="001B0F30">
        <w:rPr>
          <w:rFonts w:eastAsia="Times New Roman" w:cs="Times New Roman"/>
        </w:rPr>
        <w:t xml:space="preserve"> and pe</w:t>
      </w:r>
      <w:r w:rsidR="00106F96">
        <w:rPr>
          <w:rFonts w:eastAsia="Times New Roman" w:cs="Times New Roman"/>
        </w:rPr>
        <w:t>ople</w:t>
      </w:r>
      <w:r w:rsidRPr="001B0F30">
        <w:rPr>
          <w:rFonts w:eastAsia="Times New Roman" w:cs="Times New Roman"/>
        </w:rPr>
        <w:t xml:space="preserve"> with a disability.  </w:t>
      </w:r>
    </w:p>
    <w:p w14:paraId="1352F2A9" w14:textId="5DCB2505" w:rsidR="000D18B4" w:rsidRPr="001B0F30" w:rsidRDefault="000D18B4" w:rsidP="000D18B4">
      <w:pPr>
        <w:spacing w:line="240" w:lineRule="auto"/>
        <w:rPr>
          <w:rFonts w:eastAsia="Times New Roman" w:cs="Times New Roman"/>
        </w:rPr>
      </w:pPr>
      <w:r w:rsidRPr="001B0F30">
        <w:rPr>
          <w:rFonts w:eastAsia="Times New Roman" w:cs="Times New Roman"/>
        </w:rPr>
        <w:t xml:space="preserve">Programs and services are connected to community and accessible by public transport. Services are aimed at supporting mobility and independence and delivered in a range of ways to reach older people in their homes and local communities as required. Services are accessible, with technology and infrastructure that responds to changing needs, and delivered through inclusive </w:t>
      </w:r>
      <w:r w:rsidR="00106F96">
        <w:rPr>
          <w:rFonts w:eastAsia="Times New Roman" w:cs="Times New Roman"/>
        </w:rPr>
        <w:t xml:space="preserve">and appropriate </w:t>
      </w:r>
      <w:r w:rsidRPr="001B0F30">
        <w:rPr>
          <w:rFonts w:eastAsia="Times New Roman" w:cs="Times New Roman"/>
        </w:rPr>
        <w:t>communication methods.</w:t>
      </w:r>
    </w:p>
    <w:p w14:paraId="703406BF" w14:textId="65BFDFE2" w:rsidR="000D18B4" w:rsidRDefault="000D18B4" w:rsidP="000D18B4">
      <w:pPr>
        <w:spacing w:line="240" w:lineRule="auto"/>
        <w:rPr>
          <w:rFonts w:eastAsia="Times New Roman" w:cs="Times New Roman"/>
        </w:rPr>
      </w:pPr>
      <w:r w:rsidRPr="001B0F30">
        <w:rPr>
          <w:rFonts w:eastAsia="Times New Roman" w:cs="Times New Roman"/>
        </w:rPr>
        <w:t xml:space="preserve">Community services provide individualised programs with a range of prevention, early intervention and crisis services. Service development is driven from an evidence base </w:t>
      </w:r>
      <w:r>
        <w:rPr>
          <w:rFonts w:eastAsia="Times New Roman" w:cs="Times New Roman"/>
        </w:rPr>
        <w:t>about</w:t>
      </w:r>
      <w:r w:rsidRPr="001B0F30">
        <w:rPr>
          <w:rFonts w:eastAsia="Times New Roman" w:cs="Times New Roman"/>
        </w:rPr>
        <w:t xml:space="preserve"> needs and preferences and r</w:t>
      </w:r>
      <w:r>
        <w:rPr>
          <w:rFonts w:eastAsia="Times New Roman" w:cs="Times New Roman"/>
        </w:rPr>
        <w:t>eflect</w:t>
      </w:r>
      <w:r w:rsidR="00106F96">
        <w:rPr>
          <w:rFonts w:eastAsia="Times New Roman" w:cs="Times New Roman"/>
        </w:rPr>
        <w:t>s</w:t>
      </w:r>
      <w:r>
        <w:rPr>
          <w:rFonts w:eastAsia="Times New Roman" w:cs="Times New Roman"/>
        </w:rPr>
        <w:t xml:space="preserve"> demographic change</w:t>
      </w:r>
      <w:r w:rsidR="00106F96">
        <w:rPr>
          <w:rFonts w:eastAsia="Times New Roman" w:cs="Times New Roman"/>
        </w:rPr>
        <w:t>.</w:t>
      </w:r>
    </w:p>
    <w:p w14:paraId="138DE52A" w14:textId="77777777" w:rsidR="004E02D9" w:rsidRDefault="004E02D9" w:rsidP="000D18B4">
      <w:pPr>
        <w:spacing w:line="240" w:lineRule="auto"/>
        <w:rPr>
          <w:rFonts w:eastAsia="Times New Roman" w:cs="Times New Roman"/>
        </w:rPr>
      </w:pPr>
    </w:p>
    <w:p w14:paraId="16F3C6EC" w14:textId="73FAE17E" w:rsidR="000D18B4" w:rsidRPr="00617952" w:rsidRDefault="000D18B4" w:rsidP="000D18B4">
      <w:pPr>
        <w:pStyle w:val="Heading2"/>
      </w:pPr>
      <w:bookmarkStart w:id="1648" w:name="_Toc457483196"/>
      <w:bookmarkStart w:id="1649" w:name="_Toc457483592"/>
      <w:bookmarkStart w:id="1650" w:name="_Toc457506522"/>
      <w:bookmarkStart w:id="1651" w:name="_Toc457512550"/>
      <w:bookmarkStart w:id="1652" w:name="_Toc457483197"/>
      <w:bookmarkStart w:id="1653" w:name="_Toc457483593"/>
      <w:bookmarkStart w:id="1654" w:name="_Toc457506523"/>
      <w:bookmarkStart w:id="1655" w:name="_Toc457512551"/>
      <w:bookmarkStart w:id="1656" w:name="_Toc457483198"/>
      <w:bookmarkStart w:id="1657" w:name="_Toc457483594"/>
      <w:bookmarkStart w:id="1658" w:name="_Toc457506524"/>
      <w:bookmarkStart w:id="1659" w:name="_Toc457512552"/>
      <w:bookmarkStart w:id="1660" w:name="_Toc457483199"/>
      <w:bookmarkStart w:id="1661" w:name="_Toc457483595"/>
      <w:bookmarkStart w:id="1662" w:name="_Toc457506525"/>
      <w:bookmarkStart w:id="1663" w:name="_Toc457512553"/>
      <w:bookmarkStart w:id="1664" w:name="_Toc457483200"/>
      <w:bookmarkStart w:id="1665" w:name="_Toc457483596"/>
      <w:bookmarkStart w:id="1666" w:name="_Toc457506526"/>
      <w:bookmarkStart w:id="1667" w:name="_Toc457512554"/>
      <w:bookmarkStart w:id="1668" w:name="_Toc457483201"/>
      <w:bookmarkStart w:id="1669" w:name="_Toc457483597"/>
      <w:bookmarkStart w:id="1670" w:name="_Toc457506527"/>
      <w:bookmarkStart w:id="1671" w:name="_Toc457512555"/>
      <w:bookmarkStart w:id="1672" w:name="_Toc457483202"/>
      <w:bookmarkStart w:id="1673" w:name="_Toc457483598"/>
      <w:bookmarkStart w:id="1674" w:name="_Toc457506528"/>
      <w:bookmarkStart w:id="1675" w:name="_Toc457512556"/>
      <w:bookmarkStart w:id="1676" w:name="_Toc457483203"/>
      <w:bookmarkStart w:id="1677" w:name="_Toc457483599"/>
      <w:bookmarkStart w:id="1678" w:name="_Toc457506529"/>
      <w:bookmarkStart w:id="1679" w:name="_Toc457512557"/>
      <w:bookmarkStart w:id="1680" w:name="_Toc457483204"/>
      <w:bookmarkStart w:id="1681" w:name="_Toc457483600"/>
      <w:bookmarkStart w:id="1682" w:name="_Toc457506530"/>
      <w:bookmarkStart w:id="1683" w:name="_Toc457512558"/>
      <w:bookmarkStart w:id="1684" w:name="_Toc457483205"/>
      <w:bookmarkStart w:id="1685" w:name="_Toc457483601"/>
      <w:bookmarkStart w:id="1686" w:name="_Toc457506531"/>
      <w:bookmarkStart w:id="1687" w:name="_Toc457512559"/>
      <w:bookmarkStart w:id="1688" w:name="_Toc457483206"/>
      <w:bookmarkStart w:id="1689" w:name="_Toc457483602"/>
      <w:bookmarkStart w:id="1690" w:name="_Toc457506532"/>
      <w:bookmarkStart w:id="1691" w:name="_Toc457512560"/>
      <w:bookmarkStart w:id="1692" w:name="_Toc457483207"/>
      <w:bookmarkStart w:id="1693" w:name="_Toc457483603"/>
      <w:bookmarkStart w:id="1694" w:name="_Toc457506533"/>
      <w:bookmarkStart w:id="1695" w:name="_Toc457512561"/>
      <w:bookmarkStart w:id="1696" w:name="_Toc457483208"/>
      <w:bookmarkStart w:id="1697" w:name="_Toc457483604"/>
      <w:bookmarkStart w:id="1698" w:name="_Toc457506534"/>
      <w:bookmarkStart w:id="1699" w:name="_Toc457512562"/>
      <w:bookmarkStart w:id="1700" w:name="_Toc457483209"/>
      <w:bookmarkStart w:id="1701" w:name="_Toc457483605"/>
      <w:bookmarkStart w:id="1702" w:name="_Toc457506535"/>
      <w:bookmarkStart w:id="1703" w:name="_Toc457512563"/>
      <w:bookmarkStart w:id="1704" w:name="_Toc457483210"/>
      <w:bookmarkStart w:id="1705" w:name="_Toc457483606"/>
      <w:bookmarkStart w:id="1706" w:name="_Toc457506536"/>
      <w:bookmarkStart w:id="1707" w:name="_Toc457512564"/>
      <w:bookmarkStart w:id="1708" w:name="_Toc457483211"/>
      <w:bookmarkStart w:id="1709" w:name="_Toc457483607"/>
      <w:bookmarkStart w:id="1710" w:name="_Toc457506537"/>
      <w:bookmarkStart w:id="1711" w:name="_Toc457512565"/>
      <w:bookmarkStart w:id="1712" w:name="_Toc457483212"/>
      <w:bookmarkStart w:id="1713" w:name="_Toc457483608"/>
      <w:bookmarkStart w:id="1714" w:name="_Toc457506538"/>
      <w:bookmarkStart w:id="1715" w:name="_Toc457512566"/>
      <w:bookmarkStart w:id="1716" w:name="_Toc457483213"/>
      <w:bookmarkStart w:id="1717" w:name="_Toc457483609"/>
      <w:bookmarkStart w:id="1718" w:name="_Toc457506539"/>
      <w:bookmarkStart w:id="1719" w:name="_Toc457512567"/>
      <w:bookmarkStart w:id="1720" w:name="_Toc457483214"/>
      <w:bookmarkStart w:id="1721" w:name="_Toc457483610"/>
      <w:bookmarkStart w:id="1722" w:name="_Toc457506540"/>
      <w:bookmarkStart w:id="1723" w:name="_Toc457512568"/>
      <w:bookmarkStart w:id="1724" w:name="_Toc457483215"/>
      <w:bookmarkStart w:id="1725" w:name="_Toc457483611"/>
      <w:bookmarkStart w:id="1726" w:name="_Toc457506541"/>
      <w:bookmarkStart w:id="1727" w:name="_Toc457512569"/>
      <w:bookmarkStart w:id="1728" w:name="_Toc457483216"/>
      <w:bookmarkStart w:id="1729" w:name="_Toc457483612"/>
      <w:bookmarkStart w:id="1730" w:name="_Toc457506542"/>
      <w:bookmarkStart w:id="1731" w:name="_Toc457512570"/>
      <w:bookmarkStart w:id="1732" w:name="_Toc457483217"/>
      <w:bookmarkStart w:id="1733" w:name="_Toc457483613"/>
      <w:bookmarkStart w:id="1734" w:name="_Toc457506543"/>
      <w:bookmarkStart w:id="1735" w:name="_Toc457512571"/>
      <w:bookmarkStart w:id="1736" w:name="_Toc457483218"/>
      <w:bookmarkStart w:id="1737" w:name="_Toc457483614"/>
      <w:bookmarkStart w:id="1738" w:name="_Toc457506544"/>
      <w:bookmarkStart w:id="1739" w:name="_Toc457512572"/>
      <w:bookmarkStart w:id="1740" w:name="_Toc457483219"/>
      <w:bookmarkStart w:id="1741" w:name="_Toc457483615"/>
      <w:bookmarkStart w:id="1742" w:name="_Toc457506545"/>
      <w:bookmarkStart w:id="1743" w:name="_Toc457512573"/>
      <w:bookmarkStart w:id="1744" w:name="_Toc457483220"/>
      <w:bookmarkStart w:id="1745" w:name="_Toc457483616"/>
      <w:bookmarkStart w:id="1746" w:name="_Toc457506546"/>
      <w:bookmarkStart w:id="1747" w:name="_Toc457512574"/>
      <w:bookmarkStart w:id="1748" w:name="_Toc457483221"/>
      <w:bookmarkStart w:id="1749" w:name="_Toc457483617"/>
      <w:bookmarkStart w:id="1750" w:name="_Toc457506547"/>
      <w:bookmarkStart w:id="1751" w:name="_Toc457512575"/>
      <w:bookmarkStart w:id="1752" w:name="_Toc460257522"/>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sidRPr="002E01F1">
        <w:t xml:space="preserve">Services that </w:t>
      </w:r>
      <w:r w:rsidR="00106F96">
        <w:t>s</w:t>
      </w:r>
      <w:r w:rsidRPr="002E01F1">
        <w:t xml:space="preserve">upport </w:t>
      </w:r>
      <w:r w:rsidR="00106F96">
        <w:t>a</w:t>
      </w:r>
      <w:r w:rsidRPr="005A7D97">
        <w:t xml:space="preserve">ge </w:t>
      </w:r>
      <w:r w:rsidR="00106F96">
        <w:t>f</w:t>
      </w:r>
      <w:r w:rsidRPr="005A7D97">
        <w:t xml:space="preserve">riendly </w:t>
      </w:r>
      <w:r w:rsidR="00106F96">
        <w:t>c</w:t>
      </w:r>
      <w:r w:rsidRPr="005A7D97">
        <w:t>ommunities</w:t>
      </w:r>
      <w:bookmarkEnd w:id="1752"/>
    </w:p>
    <w:tbl>
      <w:tblPr>
        <w:tblStyle w:val="TableGrid"/>
        <w:tblW w:w="0" w:type="auto"/>
        <w:tblLook w:val="04A0" w:firstRow="1" w:lastRow="0" w:firstColumn="1" w:lastColumn="0" w:noHBand="0" w:noVBand="1"/>
      </w:tblPr>
      <w:tblGrid>
        <w:gridCol w:w="9322"/>
      </w:tblGrid>
      <w:tr w:rsidR="004E02D9" w14:paraId="0A0428A8" w14:textId="77777777" w:rsidTr="00691F5C">
        <w:tc>
          <w:tcPr>
            <w:tcW w:w="9548" w:type="dxa"/>
          </w:tcPr>
          <w:p w14:paraId="4604111C" w14:textId="77777777" w:rsidR="004E02D9" w:rsidRPr="001B1330" w:rsidRDefault="004E02D9" w:rsidP="00691F5C">
            <w:pPr>
              <w:pStyle w:val="Boxheading"/>
            </w:pPr>
            <w:r w:rsidRPr="001B1330">
              <w:t>Issues</w:t>
            </w:r>
          </w:p>
          <w:p w14:paraId="251147EC" w14:textId="77777777" w:rsidR="004E02D9" w:rsidRDefault="004E02D9" w:rsidP="00691F5C">
            <w:pPr>
              <w:pStyle w:val="ListParagraph"/>
              <w:numPr>
                <w:ilvl w:val="0"/>
                <w:numId w:val="7"/>
              </w:numPr>
              <w:spacing w:after="0" w:line="240" w:lineRule="auto"/>
            </w:pPr>
            <w:r>
              <w:t>In some urban, regional and remote areas, there is a lack of services or service capacity. As a result it can be challenging for family, community and volunteers to fill all the needs and requirements of older people.</w:t>
            </w:r>
          </w:p>
          <w:p w14:paraId="23010007" w14:textId="77777777" w:rsidR="004E02D9" w:rsidRDefault="004E02D9" w:rsidP="00691F5C">
            <w:pPr>
              <w:pStyle w:val="ListParagraph"/>
              <w:numPr>
                <w:ilvl w:val="0"/>
                <w:numId w:val="7"/>
              </w:numPr>
              <w:spacing w:after="0" w:line="240" w:lineRule="auto"/>
            </w:pPr>
            <w:r>
              <w:t>Services can be difficult to access or may not exist, especially in rural and remote areas.</w:t>
            </w:r>
          </w:p>
          <w:p w14:paraId="786AD778" w14:textId="77777777" w:rsidR="004E02D9" w:rsidRDefault="004E02D9" w:rsidP="00691F5C">
            <w:pPr>
              <w:pStyle w:val="ListParagraph"/>
              <w:numPr>
                <w:ilvl w:val="0"/>
                <w:numId w:val="7"/>
              </w:numPr>
              <w:spacing w:after="0" w:line="240" w:lineRule="auto"/>
            </w:pPr>
            <w:r>
              <w:t>Eligibility rules for services can be confusing and information can be difficult to access.</w:t>
            </w:r>
          </w:p>
          <w:p w14:paraId="35D90903" w14:textId="77777777" w:rsidR="004E02D9" w:rsidRDefault="004E02D9" w:rsidP="00691F5C">
            <w:pPr>
              <w:pStyle w:val="ListParagraph"/>
              <w:numPr>
                <w:ilvl w:val="0"/>
                <w:numId w:val="7"/>
              </w:numPr>
              <w:spacing w:after="0" w:line="240" w:lineRule="auto"/>
            </w:pPr>
            <w:r>
              <w:t xml:space="preserve">Community services may not always be able to meet the diverse needs of older people including, but not limited to: Aboriginal and Torres Strait Islander peoples; </w:t>
            </w:r>
            <w:r w:rsidRPr="00106F96">
              <w:t xml:space="preserve">people from culturally and linguistically diverse backgrounds; </w:t>
            </w:r>
            <w:r>
              <w:t>people who identify as LGBTI; and people with a disability.</w:t>
            </w:r>
          </w:p>
          <w:p w14:paraId="623B79A6" w14:textId="5265F9FA" w:rsidR="004E02D9" w:rsidRDefault="004E02D9" w:rsidP="00691F5C">
            <w:pPr>
              <w:pStyle w:val="ListParagraph"/>
              <w:numPr>
                <w:ilvl w:val="0"/>
                <w:numId w:val="7"/>
              </w:numPr>
              <w:spacing w:after="0" w:line="240" w:lineRule="auto"/>
            </w:pPr>
            <w:r>
              <w:t>The health and community care environment is changing rapidly, and it is difficult to predict services, accessibility and need.</w:t>
            </w:r>
          </w:p>
          <w:p w14:paraId="1EB6D309" w14:textId="77777777" w:rsidR="004E02D9" w:rsidRDefault="004E02D9" w:rsidP="00691F5C">
            <w:pPr>
              <w:pStyle w:val="ListParagraph"/>
              <w:numPr>
                <w:ilvl w:val="0"/>
                <w:numId w:val="7"/>
              </w:numPr>
              <w:spacing w:after="0" w:line="240" w:lineRule="auto"/>
            </w:pPr>
            <w:r>
              <w:t>Regional and remote communities may experience more challenges than urban areas in accessing aged-care support.</w:t>
            </w:r>
          </w:p>
          <w:p w14:paraId="66CAD22A" w14:textId="28B1A3CE" w:rsidR="004E02D9" w:rsidRDefault="004E02D9" w:rsidP="00691F5C">
            <w:pPr>
              <w:pStyle w:val="ListParagraph"/>
              <w:numPr>
                <w:ilvl w:val="0"/>
                <w:numId w:val="7"/>
              </w:numPr>
              <w:spacing w:after="0" w:line="240" w:lineRule="auto"/>
            </w:pPr>
            <w:r>
              <w:t>There are challenges for organisations in attracting staff, particularly those operating in regional and remote areas of Queensland.</w:t>
            </w:r>
            <w:r w:rsidR="002C458D">
              <w:t xml:space="preserve">  This is compounded </w:t>
            </w:r>
          </w:p>
          <w:p w14:paraId="0DED838E" w14:textId="77777777" w:rsidR="004E02D9" w:rsidRDefault="004E02D9" w:rsidP="00691F5C">
            <w:pPr>
              <w:pStyle w:val="ListParagraph"/>
              <w:numPr>
                <w:ilvl w:val="0"/>
                <w:numId w:val="7"/>
              </w:numPr>
              <w:spacing w:after="0" w:line="240" w:lineRule="auto"/>
            </w:pPr>
            <w:r>
              <w:t>Resourcing and</w:t>
            </w:r>
            <w:r w:rsidRPr="00E62026">
              <w:t xml:space="preserve"> </w:t>
            </w:r>
            <w:r>
              <w:t xml:space="preserve">maintaining a </w:t>
            </w:r>
            <w:r w:rsidRPr="00E62026">
              <w:t>skilled workforce</w:t>
            </w:r>
            <w:r>
              <w:t xml:space="preserve"> for an ageing population can be difficult, particularly in regional and rural areas.</w:t>
            </w:r>
          </w:p>
          <w:p w14:paraId="6BDCA072" w14:textId="77777777" w:rsidR="004E02D9" w:rsidRDefault="004E02D9" w:rsidP="00691F5C">
            <w:pPr>
              <w:keepNext/>
              <w:keepLines/>
              <w:spacing w:before="40"/>
              <w:outlineLvl w:val="1"/>
              <w:rPr>
                <w:rFonts w:asciiTheme="majorHAnsi" w:eastAsiaTheme="majorEastAsia" w:hAnsiTheme="majorHAnsi" w:cstheme="majorBidi"/>
                <w:b/>
                <w:sz w:val="26"/>
                <w:szCs w:val="26"/>
              </w:rPr>
            </w:pPr>
          </w:p>
        </w:tc>
      </w:tr>
    </w:tbl>
    <w:p w14:paraId="1B74AE7A" w14:textId="77777777" w:rsidR="004E02D9" w:rsidRDefault="004E02D9" w:rsidP="000D18B4"/>
    <w:p w14:paraId="21231730" w14:textId="79D332B2" w:rsidR="000D18B4" w:rsidRPr="002E01F1" w:rsidRDefault="000D18B4" w:rsidP="000D18B4">
      <w:pPr>
        <w:rPr>
          <w:color w:val="FF0000"/>
        </w:rPr>
      </w:pPr>
      <w:r w:rsidRPr="004C1AE3">
        <w:t xml:space="preserve">According to the World Health Organisation (WHO), in an age-friendly community, policies, services and structures related to the physical and social environment are designed to support and enable older </w:t>
      </w:r>
      <w:r w:rsidRPr="004C1AE3">
        <w:lastRenderedPageBreak/>
        <w:t xml:space="preserve">people to age actively – to live in security, enjoy </w:t>
      </w:r>
      <w:r w:rsidR="002C458D">
        <w:t>g</w:t>
      </w:r>
      <w:r w:rsidRPr="004C1AE3">
        <w:t>ood health and continue to participate fully in society.</w:t>
      </w:r>
      <w:r w:rsidRPr="004C1AE3">
        <w:rPr>
          <w:rStyle w:val="FootnoteReference"/>
        </w:rPr>
        <w:footnoteReference w:id="80"/>
      </w:r>
      <w:r>
        <w:t xml:space="preserve"> </w:t>
      </w:r>
    </w:p>
    <w:p w14:paraId="778E4737" w14:textId="7AFEA2FD" w:rsidR="000D18B4" w:rsidRPr="00376644" w:rsidRDefault="000D18B4" w:rsidP="000D18B4">
      <w:r w:rsidRPr="00376644">
        <w:t xml:space="preserve">Community services can be delivered in ways that support people to age in place independently in </w:t>
      </w:r>
      <w:r w:rsidR="002C458D">
        <w:t xml:space="preserve">    </w:t>
      </w:r>
      <w:r w:rsidRPr="00376644">
        <w:t>age</w:t>
      </w:r>
      <w:r w:rsidR="002C458D">
        <w:t>-</w:t>
      </w:r>
      <w:r w:rsidRPr="00376644">
        <w:t>friendly communities. Features of a service system that provide this support include:</w:t>
      </w:r>
    </w:p>
    <w:p w14:paraId="284EF64D" w14:textId="77777777" w:rsidR="000D18B4" w:rsidRPr="00376644" w:rsidRDefault="000D18B4" w:rsidP="004363AF">
      <w:pPr>
        <w:pStyle w:val="ListParagraph"/>
        <w:numPr>
          <w:ilvl w:val="0"/>
          <w:numId w:val="16"/>
        </w:numPr>
      </w:pPr>
      <w:r w:rsidRPr="00376644">
        <w:t>sufficient services in local communities and areas, so that people do not have to travel far to receive services</w:t>
      </w:r>
    </w:p>
    <w:p w14:paraId="784BC268" w14:textId="77777777" w:rsidR="000D18B4" w:rsidRPr="00376644" w:rsidRDefault="000D18B4" w:rsidP="004363AF">
      <w:pPr>
        <w:pStyle w:val="ListParagraph"/>
        <w:numPr>
          <w:ilvl w:val="0"/>
          <w:numId w:val="16"/>
        </w:numPr>
      </w:pPr>
      <w:r w:rsidRPr="00376644">
        <w:t>services that are able to be delivered to the home if that suits the older person and their capacities</w:t>
      </w:r>
    </w:p>
    <w:p w14:paraId="0D6E1934" w14:textId="77777777" w:rsidR="000D18B4" w:rsidRPr="00376644" w:rsidRDefault="000D18B4" w:rsidP="004363AF">
      <w:pPr>
        <w:pStyle w:val="ListParagraph"/>
        <w:numPr>
          <w:ilvl w:val="0"/>
          <w:numId w:val="16"/>
        </w:numPr>
      </w:pPr>
      <w:r w:rsidRPr="00376644">
        <w:t>services that are easy to access, with accessible information and multiple means of accessing, and that are integrated with other services an older person may need</w:t>
      </w:r>
    </w:p>
    <w:p w14:paraId="53C99876" w14:textId="77777777" w:rsidR="000D18B4" w:rsidRDefault="000D18B4" w:rsidP="004363AF">
      <w:pPr>
        <w:pStyle w:val="ListParagraph"/>
        <w:numPr>
          <w:ilvl w:val="0"/>
          <w:numId w:val="16"/>
        </w:numPr>
      </w:pPr>
      <w:r w:rsidRPr="00376644">
        <w:t xml:space="preserve">quality services that include older people’s perspectives on how the services should be delivered. </w:t>
      </w:r>
    </w:p>
    <w:p w14:paraId="77EAC606" w14:textId="593063F6" w:rsidR="000D18B4" w:rsidRDefault="000D18B4" w:rsidP="000D18B4">
      <w:r>
        <w:t>Services a</w:t>
      </w:r>
      <w:r w:rsidRPr="00376644">
        <w:t>re increasingly</w:t>
      </w:r>
      <w:r>
        <w:t xml:space="preserve"> being</w:t>
      </w:r>
      <w:r w:rsidRPr="00376644">
        <w:t xml:space="preserve"> deliver</w:t>
      </w:r>
      <w:r>
        <w:t>ed</w:t>
      </w:r>
      <w:r w:rsidRPr="00376644">
        <w:t xml:space="preserve"> in a way that supports </w:t>
      </w:r>
      <w:r>
        <w:t xml:space="preserve">older people to </w:t>
      </w:r>
      <w:r w:rsidRPr="00376644">
        <w:t xml:space="preserve">age in place. </w:t>
      </w:r>
      <w:r>
        <w:t>I</w:t>
      </w:r>
      <w:r w:rsidRPr="00376644">
        <w:t xml:space="preserve">ncreasingly, support systems for older people are designed </w:t>
      </w:r>
      <w:r>
        <w:t xml:space="preserve">so that </w:t>
      </w:r>
      <w:r w:rsidRPr="00376644">
        <w:t xml:space="preserve">people </w:t>
      </w:r>
      <w:r>
        <w:t>can remain</w:t>
      </w:r>
      <w:r w:rsidRPr="00376644">
        <w:t xml:space="preserve"> independent and</w:t>
      </w:r>
      <w:r>
        <w:t xml:space="preserve"> </w:t>
      </w:r>
      <w:r w:rsidRPr="000E04B9">
        <w:t>liv</w:t>
      </w:r>
      <w:r w:rsidR="00A13069">
        <w:t>e</w:t>
      </w:r>
      <w:r w:rsidRPr="000E04B9">
        <w:t xml:space="preserve"> in their own home.</w:t>
      </w:r>
    </w:p>
    <w:p w14:paraId="04BBC83F" w14:textId="127E76AC" w:rsidR="000D18B4" w:rsidRDefault="000D18B4" w:rsidP="000D18B4">
      <w:r>
        <w:t xml:space="preserve">The Financial Options Roundtable envisioned a future where more older people </w:t>
      </w:r>
      <w:r w:rsidR="002C458D">
        <w:t xml:space="preserve">want to, and </w:t>
      </w:r>
      <w:r>
        <w:t>have the option to live in higher</w:t>
      </w:r>
      <w:r w:rsidR="004E02D9">
        <w:t>-</w:t>
      </w:r>
      <w:r>
        <w:t>density</w:t>
      </w:r>
      <w:r w:rsidR="00A13069">
        <w:t xml:space="preserve"> communities</w:t>
      </w:r>
      <w:r>
        <w:t xml:space="preserve"> </w:t>
      </w:r>
      <w:r w:rsidR="00A13069">
        <w:t>(</w:t>
      </w:r>
      <w:r w:rsidR="004E02D9">
        <w:t>similar to</w:t>
      </w:r>
      <w:r w:rsidR="00A13069">
        <w:t xml:space="preserve"> </w:t>
      </w:r>
      <w:r>
        <w:t>James Street</w:t>
      </w:r>
      <w:r w:rsidR="00A13069">
        <w:t xml:space="preserve">, </w:t>
      </w:r>
      <w:r>
        <w:t xml:space="preserve">Fortitude Valley), where all services are nearby and easily accessible or delivered to the older person in their home. </w:t>
      </w:r>
    </w:p>
    <w:p w14:paraId="32FDDA4D" w14:textId="77777777" w:rsidR="000D18B4" w:rsidRDefault="000D18B4" w:rsidP="000D18B4">
      <w:pPr>
        <w:contextualSpacing/>
      </w:pPr>
    </w:p>
    <w:p w14:paraId="4FAC8567" w14:textId="3ADA72BE" w:rsidR="000D18B4" w:rsidRDefault="000D18B4" w:rsidP="000D18B4">
      <w:pPr>
        <w:pStyle w:val="Heading2"/>
        <w:rPr>
          <w:rFonts w:eastAsia="Times New Roman"/>
        </w:rPr>
      </w:pPr>
      <w:bookmarkStart w:id="1753" w:name="_Toc460257523"/>
      <w:r>
        <w:rPr>
          <w:rFonts w:eastAsia="Times New Roman"/>
        </w:rPr>
        <w:t>Technology</w:t>
      </w:r>
      <w:bookmarkEnd w:id="1753"/>
    </w:p>
    <w:tbl>
      <w:tblPr>
        <w:tblStyle w:val="TableGrid"/>
        <w:tblW w:w="0" w:type="auto"/>
        <w:tblLook w:val="04A0" w:firstRow="1" w:lastRow="0" w:firstColumn="1" w:lastColumn="0" w:noHBand="0" w:noVBand="1"/>
      </w:tblPr>
      <w:tblGrid>
        <w:gridCol w:w="9322"/>
      </w:tblGrid>
      <w:tr w:rsidR="000D18B4" w:rsidRPr="00F70D0A" w14:paraId="21BE0C42" w14:textId="77777777" w:rsidTr="00BA3344">
        <w:tc>
          <w:tcPr>
            <w:tcW w:w="9548" w:type="dxa"/>
          </w:tcPr>
          <w:p w14:paraId="28869A8F" w14:textId="77777777" w:rsidR="000D18B4" w:rsidRPr="00F70D0A" w:rsidRDefault="000D18B4" w:rsidP="00BA3344">
            <w:pPr>
              <w:pStyle w:val="Boxheading"/>
            </w:pPr>
            <w:r>
              <w:t xml:space="preserve">Issues </w:t>
            </w:r>
          </w:p>
          <w:p w14:paraId="4EE42721" w14:textId="195838FA" w:rsidR="000D18B4" w:rsidRPr="00F70D0A" w:rsidRDefault="000D18B4" w:rsidP="000D28C0">
            <w:pPr>
              <w:pStyle w:val="ListParagraph"/>
              <w:numPr>
                <w:ilvl w:val="0"/>
                <w:numId w:val="7"/>
              </w:numPr>
              <w:spacing w:line="240" w:lineRule="auto"/>
            </w:pPr>
            <w:r w:rsidRPr="00F70D0A">
              <w:t>An increasing number of older Queenslanders are using the internet and other digital technology</w:t>
            </w:r>
            <w:r w:rsidR="00A13069">
              <w:t>. H</w:t>
            </w:r>
            <w:r w:rsidRPr="00F70D0A">
              <w:t>owever</w:t>
            </w:r>
            <w:r w:rsidR="00A13069">
              <w:t>,</w:t>
            </w:r>
            <w:r w:rsidRPr="00F70D0A">
              <w:t xml:space="preserve"> there is still a significant proportion of older people who </w:t>
            </w:r>
            <w:r w:rsidR="00A13069">
              <w:t>lack awareness of, and do not use, digital and related technologies</w:t>
            </w:r>
            <w:r w:rsidRPr="00F70D0A">
              <w:t xml:space="preserve">. </w:t>
            </w:r>
          </w:p>
        </w:tc>
      </w:tr>
    </w:tbl>
    <w:p w14:paraId="12E90FB4" w14:textId="77777777" w:rsidR="000D18B4" w:rsidRPr="00F70D0A" w:rsidRDefault="000D18B4" w:rsidP="000D18B4">
      <w:pPr>
        <w:ind w:left="360"/>
        <w:contextualSpacing/>
      </w:pPr>
    </w:p>
    <w:p w14:paraId="120C2A0F" w14:textId="15DA1496" w:rsidR="000D18B4" w:rsidRDefault="000D18B4" w:rsidP="000D28C0">
      <w:r w:rsidRPr="00ED7431">
        <w:t>Wh</w:t>
      </w:r>
      <w:r>
        <w:t>ile increasing numbers of older</w:t>
      </w:r>
      <w:r w:rsidRPr="00ED7431">
        <w:t xml:space="preserve"> Queenslanders are using the internet and other technolog</w:t>
      </w:r>
      <w:r w:rsidR="00A13069">
        <w:t>ies</w:t>
      </w:r>
      <w:r w:rsidRPr="00ED7431">
        <w:t>, they still have proportionally lower usage rates t</w:t>
      </w:r>
      <w:r>
        <w:t>han younger people. This limit</w:t>
      </w:r>
      <w:r w:rsidR="005F236C">
        <w:t>s</w:t>
      </w:r>
      <w:r>
        <w:t xml:space="preserve"> an older person’s ability to access some services or access information about their housing options. There is a need for programs that assist older people</w:t>
      </w:r>
      <w:r w:rsidR="000B3FB6">
        <w:t xml:space="preserve"> </w:t>
      </w:r>
      <w:r w:rsidR="005F236C">
        <w:t>and</w:t>
      </w:r>
      <w:r>
        <w:t xml:space="preserve"> training for those wanting to </w:t>
      </w:r>
      <w:r w:rsidR="005F236C">
        <w:t>increase their awareness, and use</w:t>
      </w:r>
      <w:r w:rsidR="000B3FB6">
        <w:t>, of</w:t>
      </w:r>
      <w:r w:rsidR="005F236C">
        <w:t xml:space="preserve"> modern technologies</w:t>
      </w:r>
      <w:r>
        <w:t>.</w:t>
      </w:r>
    </w:p>
    <w:p w14:paraId="26EAB950" w14:textId="6A548406" w:rsidR="000D18B4" w:rsidRDefault="00563826" w:rsidP="000D28C0">
      <w:r>
        <w:t xml:space="preserve">At the Hervey Bay community consultation workshop, </w:t>
      </w:r>
      <w:r w:rsidR="000D18B4">
        <w:t xml:space="preserve">Ann Moffatt, Chair of the Hervey Bay Computer Club </w:t>
      </w:r>
      <w:r w:rsidR="005F236C">
        <w:t>(</w:t>
      </w:r>
      <w:r w:rsidR="000D18B4">
        <w:t>listed by Microsoft as one of 12 Australian innovators for her pioneering work and advocacy in teleworking</w:t>
      </w:r>
      <w:r w:rsidR="005F236C">
        <w:t>)</w:t>
      </w:r>
      <w:r w:rsidR="000D18B4">
        <w:t>, re-iterated the importance of retaining non-</w:t>
      </w:r>
      <w:r w:rsidR="000D18B4" w:rsidRPr="00ED7431">
        <w:t xml:space="preserve">internet-based </w:t>
      </w:r>
      <w:r w:rsidR="000D18B4">
        <w:t xml:space="preserve">information sources for older people.  </w:t>
      </w:r>
    </w:p>
    <w:p w14:paraId="7D41EEFE" w14:textId="1BA4F2C2" w:rsidR="000D18B4" w:rsidRPr="00595537" w:rsidRDefault="000D18B4" w:rsidP="000D28C0">
      <w:r w:rsidRPr="00595537">
        <w:t>The Australian Communication and Media Authority published information on internet use by age in their report</w:t>
      </w:r>
      <w:r w:rsidR="005F236C">
        <w:t>,</w:t>
      </w:r>
      <w:r w:rsidRPr="00595537">
        <w:t xml:space="preserve"> Australians’ </w:t>
      </w:r>
      <w:r w:rsidR="005F236C">
        <w:t>D</w:t>
      </w:r>
      <w:r w:rsidRPr="00595537">
        <w:t xml:space="preserve">igital </w:t>
      </w:r>
      <w:r w:rsidR="005F236C">
        <w:t>L</w:t>
      </w:r>
      <w:r w:rsidRPr="00595537">
        <w:t>ives 2015</w:t>
      </w:r>
      <w:r w:rsidR="005F236C" w:rsidRPr="005F236C">
        <w:t xml:space="preserve"> </w:t>
      </w:r>
      <w:r w:rsidR="005F236C">
        <w:t>(s</w:t>
      </w:r>
      <w:r w:rsidR="005F236C" w:rsidRPr="00595537">
        <w:t xml:space="preserve">ee Figure </w:t>
      </w:r>
      <w:r w:rsidR="005F236C">
        <w:t>4</w:t>
      </w:r>
      <w:r w:rsidR="005F236C" w:rsidRPr="00595537">
        <w:t xml:space="preserve"> below</w:t>
      </w:r>
      <w:r w:rsidR="005F236C">
        <w:t>). It</w:t>
      </w:r>
      <w:r w:rsidRPr="00595537">
        <w:t xml:space="preserve"> stated that almost 100</w:t>
      </w:r>
      <w:r w:rsidR="003D64E0">
        <w:t xml:space="preserve"> per cent</w:t>
      </w:r>
      <w:r w:rsidRPr="00595537">
        <w:t xml:space="preserve"> of </w:t>
      </w:r>
      <w:r w:rsidR="005F236C">
        <w:t>people</w:t>
      </w:r>
      <w:r w:rsidR="005F236C" w:rsidRPr="00595537">
        <w:t xml:space="preserve"> </w:t>
      </w:r>
      <w:r w:rsidRPr="00595537">
        <w:t>aged 18 to 44 years use the internet, compared with 94</w:t>
      </w:r>
      <w:r w:rsidR="003D64E0">
        <w:t xml:space="preserve"> per cent</w:t>
      </w:r>
      <w:r w:rsidRPr="00595537">
        <w:t xml:space="preserve"> of </w:t>
      </w:r>
      <w:r w:rsidR="005F236C">
        <w:t>people</w:t>
      </w:r>
      <w:r w:rsidR="005F236C" w:rsidRPr="00595537">
        <w:t xml:space="preserve"> </w:t>
      </w:r>
      <w:r w:rsidRPr="00595537">
        <w:t>aged 45 to 64</w:t>
      </w:r>
      <w:r w:rsidR="005F236C">
        <w:t xml:space="preserve"> </w:t>
      </w:r>
      <w:r w:rsidR="002C458D">
        <w:t>with</w:t>
      </w:r>
      <w:r w:rsidR="005F236C">
        <w:t xml:space="preserve"> </w:t>
      </w:r>
      <w:r w:rsidRPr="00595537">
        <w:t>68</w:t>
      </w:r>
      <w:r w:rsidR="003D64E0">
        <w:t xml:space="preserve"> per cent</w:t>
      </w:r>
      <w:r w:rsidRPr="00595537">
        <w:t xml:space="preserve"> </w:t>
      </w:r>
      <w:r w:rsidR="005F236C">
        <w:t>of people aged</w:t>
      </w:r>
      <w:r w:rsidR="005F236C" w:rsidRPr="00595537">
        <w:t xml:space="preserve"> 65 </w:t>
      </w:r>
      <w:r w:rsidR="005F236C">
        <w:t>or</w:t>
      </w:r>
      <w:r w:rsidR="005F236C" w:rsidRPr="00595537">
        <w:t xml:space="preserve"> over</w:t>
      </w:r>
      <w:r w:rsidRPr="00595537">
        <w:t xml:space="preserve">. This shows that </w:t>
      </w:r>
      <w:r w:rsidR="005F236C">
        <w:t xml:space="preserve">while many </w:t>
      </w:r>
      <w:r w:rsidRPr="00595537">
        <w:t>older people are using the internet</w:t>
      </w:r>
      <w:r w:rsidR="005F236C">
        <w:t>,</w:t>
      </w:r>
      <w:r w:rsidRPr="00595537">
        <w:t xml:space="preserve"> there is still a large number that do not. </w:t>
      </w:r>
    </w:p>
    <w:p w14:paraId="657A72B1" w14:textId="77777777" w:rsidR="000D18B4" w:rsidRDefault="000D18B4" w:rsidP="000D18B4">
      <w:pPr>
        <w:ind w:left="360"/>
        <w:contextualSpacing/>
      </w:pPr>
    </w:p>
    <w:p w14:paraId="258EEA36" w14:textId="77777777" w:rsidR="000D18B4" w:rsidRPr="00595537" w:rsidRDefault="000D18B4" w:rsidP="000D18B4">
      <w:pPr>
        <w:ind w:left="360"/>
        <w:contextualSpacing/>
      </w:pPr>
    </w:p>
    <w:p w14:paraId="76BBE165" w14:textId="77777777" w:rsidR="000D18B4" w:rsidRPr="00D314B5" w:rsidRDefault="000D18B4" w:rsidP="000D18B4">
      <w:pPr>
        <w:contextualSpacing/>
        <w:rPr>
          <w:b/>
        </w:rPr>
      </w:pPr>
      <w:r w:rsidRPr="00D314B5">
        <w:rPr>
          <w:b/>
        </w:rPr>
        <w:lastRenderedPageBreak/>
        <w:t xml:space="preserve">Figure </w:t>
      </w:r>
      <w:r w:rsidR="00D314B5" w:rsidRPr="00D314B5">
        <w:rPr>
          <w:b/>
        </w:rPr>
        <w:t>4:  Internet usage for age groups</w:t>
      </w:r>
      <w:r w:rsidRPr="00D314B5">
        <w:rPr>
          <w:b/>
        </w:rPr>
        <w:t>, 2014</w:t>
      </w:r>
      <w:r w:rsidR="00F80AD5">
        <w:rPr>
          <w:rStyle w:val="FootnoteReference"/>
          <w:b/>
        </w:rPr>
        <w:footnoteReference w:id="81"/>
      </w:r>
      <w:r w:rsidRPr="00D314B5">
        <w:rPr>
          <w:b/>
        </w:rPr>
        <w:t xml:space="preserve"> </w:t>
      </w:r>
    </w:p>
    <w:p w14:paraId="20C2E058" w14:textId="77777777" w:rsidR="000D18B4" w:rsidRDefault="000D18B4" w:rsidP="000D18B4">
      <w:pPr>
        <w:contextualSpacing/>
      </w:pPr>
    </w:p>
    <w:p w14:paraId="6F256529" w14:textId="77777777" w:rsidR="000D18B4" w:rsidRDefault="000D18B4" w:rsidP="000D18B4">
      <w:pPr>
        <w:contextualSpacing/>
      </w:pPr>
      <w:r>
        <w:rPr>
          <w:noProof/>
          <w:lang w:eastAsia="en-AU"/>
        </w:rPr>
        <w:drawing>
          <wp:inline distT="0" distB="0" distL="0" distR="0" wp14:anchorId="09205EF1" wp14:editId="39E7026B">
            <wp:extent cx="4210050" cy="1481570"/>
            <wp:effectExtent l="0" t="0" r="0" b="4445"/>
            <wp:docPr id="9" name="Picture 9" descr="https://pbs.twimg.com/media/CBY9QnUUYAEyq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CBY9QnUUYAEyqp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9241" b="19194"/>
                    <a:stretch/>
                  </pic:blipFill>
                  <pic:spPr bwMode="auto">
                    <a:xfrm>
                      <a:off x="0" y="0"/>
                      <a:ext cx="4227067" cy="1487558"/>
                    </a:xfrm>
                    <a:prstGeom prst="rect">
                      <a:avLst/>
                    </a:prstGeom>
                    <a:noFill/>
                    <a:ln>
                      <a:noFill/>
                    </a:ln>
                    <a:extLst>
                      <a:ext uri="{53640926-AAD7-44D8-BBD7-CCE9431645EC}">
                        <a14:shadowObscured xmlns:a14="http://schemas.microsoft.com/office/drawing/2010/main"/>
                      </a:ext>
                    </a:extLst>
                  </pic:spPr>
                </pic:pic>
              </a:graphicData>
            </a:graphic>
          </wp:inline>
        </w:drawing>
      </w:r>
    </w:p>
    <w:p w14:paraId="08A6C3E5" w14:textId="77777777" w:rsidR="000D18B4" w:rsidRDefault="000D18B4" w:rsidP="000D18B4">
      <w:pPr>
        <w:ind w:left="720"/>
        <w:contextualSpacing/>
        <w:rPr>
          <w:b/>
        </w:rPr>
      </w:pPr>
    </w:p>
    <w:p w14:paraId="00B5CE2F" w14:textId="2117B40B" w:rsidR="000D18B4" w:rsidRPr="004C1AE3" w:rsidRDefault="000D18B4" w:rsidP="000D18B4">
      <w:r w:rsidRPr="004C1AE3">
        <w:t>The Tech Savvy Seniors Queensland program</w:t>
      </w:r>
      <w:r w:rsidR="005F236C">
        <w:t>,</w:t>
      </w:r>
      <w:r w:rsidRPr="004C1AE3">
        <w:t xml:space="preserve"> launched in August 2015</w:t>
      </w:r>
      <w:r w:rsidR="005F236C">
        <w:t>,</w:t>
      </w:r>
      <w:r w:rsidRPr="004C1AE3">
        <w:t xml:space="preserve"> is a partnership between the Queensland Government and Telstra </w:t>
      </w:r>
      <w:r w:rsidR="005F236C">
        <w:t>that</w:t>
      </w:r>
      <w:r w:rsidR="005F236C" w:rsidRPr="004C1AE3">
        <w:t xml:space="preserve"> </w:t>
      </w:r>
      <w:r w:rsidRPr="004C1AE3">
        <w:t xml:space="preserve">provides free digital training to </w:t>
      </w:r>
      <w:r>
        <w:t>older people</w:t>
      </w:r>
      <w:r w:rsidR="005F236C">
        <w:t xml:space="preserve">. It </w:t>
      </w:r>
      <w:r w:rsidR="000B3FB6">
        <w:t>includes use</w:t>
      </w:r>
      <w:r w:rsidR="005F236C">
        <w:t xml:space="preserve"> of</w:t>
      </w:r>
      <w:r w:rsidRPr="004C1AE3">
        <w:t xml:space="preserve"> tablets, smart phones and laptops to do banking and use </w:t>
      </w:r>
      <w:r w:rsidR="005F236C">
        <w:t xml:space="preserve">of </w:t>
      </w:r>
      <w:r w:rsidRPr="004C1AE3">
        <w:t xml:space="preserve">social media to stay connected with friends and family. The training is being delivered through libraries and Indigenous Knowledge Centres in 38 </w:t>
      </w:r>
      <w:r w:rsidR="005F236C">
        <w:t>l</w:t>
      </w:r>
      <w:r w:rsidRPr="004C1AE3">
        <w:t xml:space="preserve">ocal </w:t>
      </w:r>
      <w:r w:rsidR="005F236C">
        <w:t>g</w:t>
      </w:r>
      <w:r w:rsidRPr="004C1AE3">
        <w:t xml:space="preserve">overnment </w:t>
      </w:r>
      <w:r w:rsidR="005F236C">
        <w:t>a</w:t>
      </w:r>
      <w:r w:rsidRPr="004C1AE3">
        <w:t xml:space="preserve">reas throughout Queensland and includes training for absolute beginners through to advanced digital users. </w:t>
      </w:r>
      <w:r>
        <w:t>7</w:t>
      </w:r>
      <w:r w:rsidR="005F236C">
        <w:t>,</w:t>
      </w:r>
      <w:r>
        <w:t xml:space="preserve">000 people have accessed the program as at August 2016. </w:t>
      </w:r>
    </w:p>
    <w:p w14:paraId="59DDD0D1" w14:textId="2663E49D" w:rsidR="000D18B4" w:rsidRDefault="000D18B4" w:rsidP="000D18B4">
      <w:pPr>
        <w:contextualSpacing/>
        <w:rPr>
          <w:b/>
        </w:rPr>
      </w:pPr>
      <w:r w:rsidRPr="004C1AE3">
        <w:t xml:space="preserve">In fourteen of these locations, there are </w:t>
      </w:r>
      <w:r>
        <w:t xml:space="preserve">additional support </w:t>
      </w:r>
      <w:r w:rsidRPr="004C1AE3">
        <w:t>services available to participants to help vulnerable and socially</w:t>
      </w:r>
      <w:r w:rsidR="005F236C">
        <w:t>-</w:t>
      </w:r>
      <w:r w:rsidRPr="004C1AE3">
        <w:t>isolated older people attend and fully participate in the training sessions. The types of support include assistance with transport, support in the training sessions and information and referrals.</w:t>
      </w:r>
      <w:r>
        <w:rPr>
          <w:b/>
        </w:rPr>
        <w:t xml:space="preserve"> </w:t>
      </w:r>
    </w:p>
    <w:p w14:paraId="2DA0C4E8" w14:textId="77777777" w:rsidR="000D18B4" w:rsidRDefault="000D18B4" w:rsidP="000D18B4">
      <w:pPr>
        <w:contextualSpacing/>
        <w:rPr>
          <w:b/>
        </w:rPr>
      </w:pPr>
      <w:r>
        <w:rPr>
          <w:b/>
        </w:rPr>
        <w:br w:type="page"/>
      </w:r>
    </w:p>
    <w:p w14:paraId="0BAED01A" w14:textId="77777777" w:rsidR="000D18B4" w:rsidRDefault="000D18B4" w:rsidP="000D18B4">
      <w:pPr>
        <w:pStyle w:val="Heading3"/>
        <w:numPr>
          <w:ilvl w:val="0"/>
          <w:numId w:val="0"/>
        </w:numPr>
        <w:ind w:left="1146" w:hanging="720"/>
      </w:pPr>
    </w:p>
    <w:tbl>
      <w:tblPr>
        <w:tblStyle w:val="TableGrid"/>
        <w:tblW w:w="0" w:type="auto"/>
        <w:tblLook w:val="04A0" w:firstRow="1" w:lastRow="0" w:firstColumn="1" w:lastColumn="0" w:noHBand="0" w:noVBand="1"/>
      </w:tblPr>
      <w:tblGrid>
        <w:gridCol w:w="9322"/>
      </w:tblGrid>
      <w:tr w:rsidR="000D18B4" w14:paraId="1AA5322B" w14:textId="77777777" w:rsidTr="00BA3344">
        <w:tc>
          <w:tcPr>
            <w:tcW w:w="9548" w:type="dxa"/>
          </w:tcPr>
          <w:p w14:paraId="4C72246D" w14:textId="5689F697" w:rsidR="000D18B4" w:rsidRPr="00500DEE" w:rsidRDefault="007E5E1C" w:rsidP="00BA3344">
            <w:pPr>
              <w:pStyle w:val="Boxheading"/>
            </w:pPr>
            <w:r>
              <w:t xml:space="preserve">8.3 </w:t>
            </w:r>
            <w:r w:rsidR="000D18B4" w:rsidRPr="00500DEE">
              <w:t xml:space="preserve">Recommendations </w:t>
            </w:r>
            <w:r w:rsidR="000D18B4">
              <w:t>–</w:t>
            </w:r>
            <w:r w:rsidR="000D18B4" w:rsidRPr="00500DEE">
              <w:t xml:space="preserve"> </w:t>
            </w:r>
            <w:r w:rsidR="000D18B4">
              <w:t xml:space="preserve">Suitable </w:t>
            </w:r>
            <w:r w:rsidR="00614830">
              <w:t>l</w:t>
            </w:r>
            <w:r w:rsidR="000D18B4">
              <w:t xml:space="preserve">ocal </w:t>
            </w:r>
            <w:r w:rsidR="00614830">
              <w:t>c</w:t>
            </w:r>
            <w:r w:rsidR="000D18B4">
              <w:t xml:space="preserve">ommunity </w:t>
            </w:r>
            <w:r w:rsidR="003D6CCA">
              <w:t>s</w:t>
            </w:r>
            <w:r w:rsidR="000D18B4">
              <w:t>ervices</w:t>
            </w:r>
            <w:r w:rsidR="000D18B4" w:rsidRPr="00500DEE">
              <w:t xml:space="preserve"> </w:t>
            </w:r>
          </w:p>
          <w:p w14:paraId="51EC3F2A" w14:textId="77777777" w:rsidR="000D18B4" w:rsidRDefault="000D18B4" w:rsidP="00BA3344">
            <w:pPr>
              <w:spacing w:after="0" w:line="240" w:lineRule="auto"/>
              <w:contextualSpacing/>
              <w:rPr>
                <w:b/>
                <w:color w:val="FF0000"/>
              </w:rPr>
            </w:pPr>
          </w:p>
          <w:p w14:paraId="72188232" w14:textId="2C7B4E60" w:rsidR="000E5CD9" w:rsidRPr="00610E6C" w:rsidRDefault="000E5CD9" w:rsidP="00610E6C">
            <w:pPr>
              <w:pStyle w:val="TableofFigures"/>
              <w:numPr>
                <w:ilvl w:val="0"/>
                <w:numId w:val="57"/>
              </w:numPr>
              <w:rPr>
                <w:rStyle w:val="Hyperlink"/>
                <w:color w:val="000000" w:themeColor="text1"/>
              </w:rPr>
            </w:pPr>
            <w:r w:rsidRPr="00610E6C">
              <w:t>That</w:t>
            </w:r>
            <w:r w:rsidRPr="00CB5B98">
              <w:t xml:space="preserve"> the</w:t>
            </w:r>
            <w:r w:rsidRPr="00A54C64">
              <w:t xml:space="preserve"> Queensland Government continue to support seniors’ engage with digital, computing and internet technologies through user-friendly literacy programs and the promotion of these through: </w:t>
            </w:r>
          </w:p>
          <w:p w14:paraId="3147A82F" w14:textId="77777777" w:rsidR="000E5CD9" w:rsidRDefault="000E5CD9" w:rsidP="004363AF">
            <w:pPr>
              <w:numPr>
                <w:ilvl w:val="1"/>
                <w:numId w:val="37"/>
              </w:numPr>
              <w:spacing w:after="0" w:line="240" w:lineRule="auto"/>
              <w:ind w:left="723"/>
              <w:contextualSpacing/>
            </w:pPr>
            <w:r w:rsidRPr="00A54C64">
              <w:rPr>
                <w:color w:val="000000" w:themeColor="text1"/>
              </w:rPr>
              <w:t xml:space="preserve">expansion of the </w:t>
            </w:r>
            <w:r>
              <w:t>use of technology hubs in public spaces</w:t>
            </w:r>
          </w:p>
          <w:p w14:paraId="250BDBD5" w14:textId="77777777" w:rsidR="000E5CD9" w:rsidRDefault="000E5CD9" w:rsidP="004363AF">
            <w:pPr>
              <w:numPr>
                <w:ilvl w:val="1"/>
                <w:numId w:val="37"/>
              </w:numPr>
              <w:spacing w:after="0" w:line="240" w:lineRule="auto"/>
              <w:ind w:left="723"/>
              <w:contextualSpacing/>
            </w:pPr>
            <w:r>
              <w:t>training for seniors in the use of technology and the internet</w:t>
            </w:r>
          </w:p>
          <w:p w14:paraId="52FD3C2A" w14:textId="77777777" w:rsidR="000E5CD9" w:rsidRDefault="000E5CD9" w:rsidP="004363AF">
            <w:pPr>
              <w:numPr>
                <w:ilvl w:val="1"/>
                <w:numId w:val="37"/>
              </w:numPr>
              <w:spacing w:after="0" w:line="240" w:lineRule="auto"/>
              <w:ind w:left="723"/>
              <w:contextualSpacing/>
            </w:pPr>
            <w:r>
              <w:t>remote connections for Indigenous communities</w:t>
            </w:r>
          </w:p>
          <w:p w14:paraId="57FA0387" w14:textId="77777777" w:rsidR="000E5CD9" w:rsidRDefault="000E5CD9" w:rsidP="004363AF">
            <w:pPr>
              <w:numPr>
                <w:ilvl w:val="1"/>
                <w:numId w:val="37"/>
              </w:numPr>
              <w:spacing w:line="240" w:lineRule="auto"/>
              <w:ind w:left="723"/>
              <w:contextualSpacing/>
            </w:pPr>
            <w:r>
              <w:t>age-friendly telehealth and interactive preventative health services.</w:t>
            </w:r>
          </w:p>
          <w:p w14:paraId="2D663DF1" w14:textId="77777777" w:rsidR="000E5CD9" w:rsidRDefault="000E5CD9" w:rsidP="00610E6C">
            <w:pPr>
              <w:pStyle w:val="TableofFigures"/>
            </w:pPr>
            <w:r>
              <w:t>That the Queensland Government continue to provide information about housing and services in hard-copy format for older people who are not computer literate.</w:t>
            </w:r>
          </w:p>
          <w:p w14:paraId="46630F9B" w14:textId="77777777" w:rsidR="000E5CD9" w:rsidRDefault="000E5CD9" w:rsidP="00610E6C">
            <w:pPr>
              <w:pStyle w:val="TableofFigures"/>
            </w:pPr>
            <w:r>
              <w:t>That the Queensland Government, when designing programs in relation to housing for older people, convene innovation workshops with expert facilitators to co-create a range of community services that support community engagement and ageing in place.</w:t>
            </w:r>
          </w:p>
          <w:p w14:paraId="615A8AF8" w14:textId="77777777" w:rsidR="000E5CD9" w:rsidRDefault="000E5CD9" w:rsidP="00610E6C">
            <w:pPr>
              <w:pStyle w:val="TableofFigures"/>
            </w:pPr>
            <w:r>
              <w:t>That the Queensland Government explore the need and options for establishing services to support older people at risk of homelessness. Services should be co-designed with organisations with strong links to care, support and community services.</w:t>
            </w:r>
          </w:p>
          <w:p w14:paraId="09019C0C" w14:textId="2CFD7089" w:rsidR="000D18B4" w:rsidRPr="000B0951" w:rsidRDefault="000B0951" w:rsidP="00610E6C">
            <w:pPr>
              <w:pStyle w:val="TableofFigures"/>
            </w:pPr>
            <w:r>
              <w:t xml:space="preserve">That the </w:t>
            </w:r>
            <w:r w:rsidR="000E5CD9">
              <w:t>Queensland Government develop the capability of housing and homelessness service providers to meet the needs of older people, including the integration of service responses with due regard to the choice and privacy of the older person.</w:t>
            </w:r>
          </w:p>
          <w:p w14:paraId="64653B6A" w14:textId="77777777" w:rsidR="000D18B4" w:rsidRDefault="000D18B4"/>
        </w:tc>
      </w:tr>
    </w:tbl>
    <w:p w14:paraId="4E825B3C" w14:textId="77777777" w:rsidR="000D18B4" w:rsidRDefault="000D18B4" w:rsidP="000D18B4">
      <w:pPr>
        <w:contextualSpacing/>
        <w:rPr>
          <w:color w:val="FF0000"/>
        </w:rPr>
      </w:pPr>
    </w:p>
    <w:p w14:paraId="79F2EECD" w14:textId="77777777" w:rsidR="000D18B4" w:rsidRDefault="000D18B4" w:rsidP="000D18B4">
      <w:r>
        <w:br w:type="page"/>
      </w:r>
    </w:p>
    <w:p w14:paraId="77C01EC9" w14:textId="6C444553" w:rsidR="000D18B4" w:rsidRPr="007D2C8F" w:rsidRDefault="000D18B4" w:rsidP="000D18B4">
      <w:pPr>
        <w:pStyle w:val="Heading1"/>
      </w:pPr>
      <w:bookmarkStart w:id="1754" w:name="_Toc457242527"/>
      <w:bookmarkStart w:id="1755" w:name="_Toc457242910"/>
      <w:bookmarkStart w:id="1756" w:name="_Toc457243293"/>
      <w:bookmarkStart w:id="1757" w:name="_Toc457243669"/>
      <w:bookmarkStart w:id="1758" w:name="_Toc457244051"/>
      <w:bookmarkStart w:id="1759" w:name="_Toc457244428"/>
      <w:bookmarkStart w:id="1760" w:name="_Toc457244806"/>
      <w:bookmarkStart w:id="1761" w:name="_Toc457245179"/>
      <w:bookmarkStart w:id="1762" w:name="_Toc457245550"/>
      <w:bookmarkStart w:id="1763" w:name="_Toc457245919"/>
      <w:bookmarkStart w:id="1764" w:name="_Toc457246258"/>
      <w:bookmarkStart w:id="1765" w:name="_Toc457288713"/>
      <w:bookmarkStart w:id="1766" w:name="_Toc457290534"/>
      <w:bookmarkStart w:id="1767" w:name="_Toc457398907"/>
      <w:bookmarkStart w:id="1768" w:name="_Toc457458640"/>
      <w:bookmarkStart w:id="1769" w:name="_Toc457467930"/>
      <w:bookmarkStart w:id="1770" w:name="_Toc457482939"/>
      <w:bookmarkStart w:id="1771" w:name="_Toc457483331"/>
      <w:bookmarkStart w:id="1772" w:name="_Toc457506248"/>
      <w:bookmarkStart w:id="1773" w:name="_Toc457512275"/>
      <w:bookmarkStart w:id="1774" w:name="_Toc457506278"/>
      <w:bookmarkStart w:id="1775" w:name="_Toc457512305"/>
      <w:bookmarkStart w:id="1776" w:name="_Toc457458666"/>
      <w:bookmarkStart w:id="1777" w:name="_Toc457467956"/>
      <w:bookmarkStart w:id="1778" w:name="_Toc457482965"/>
      <w:bookmarkStart w:id="1779" w:name="_Toc457483361"/>
      <w:bookmarkStart w:id="1780" w:name="_Toc457506279"/>
      <w:bookmarkStart w:id="1781" w:name="_Toc457512306"/>
      <w:bookmarkStart w:id="1782" w:name="_Toc457458667"/>
      <w:bookmarkStart w:id="1783" w:name="_Toc457467957"/>
      <w:bookmarkStart w:id="1784" w:name="_Toc457482966"/>
      <w:bookmarkStart w:id="1785" w:name="_Toc457483362"/>
      <w:bookmarkStart w:id="1786" w:name="_Toc457506280"/>
      <w:bookmarkStart w:id="1787" w:name="_Toc457512307"/>
      <w:bookmarkStart w:id="1788" w:name="_Toc457458668"/>
      <w:bookmarkStart w:id="1789" w:name="_Toc457467958"/>
      <w:bookmarkStart w:id="1790" w:name="_Toc457482967"/>
      <w:bookmarkStart w:id="1791" w:name="_Toc457483363"/>
      <w:bookmarkStart w:id="1792" w:name="_Toc457506281"/>
      <w:bookmarkStart w:id="1793" w:name="_Toc457512308"/>
      <w:bookmarkStart w:id="1794" w:name="_Toc457458669"/>
      <w:bookmarkStart w:id="1795" w:name="_Toc457467959"/>
      <w:bookmarkStart w:id="1796" w:name="_Toc457482968"/>
      <w:bookmarkStart w:id="1797" w:name="_Toc457483364"/>
      <w:bookmarkStart w:id="1798" w:name="_Toc457506282"/>
      <w:bookmarkStart w:id="1799" w:name="_Toc457512309"/>
      <w:bookmarkStart w:id="1800" w:name="_Toc457458670"/>
      <w:bookmarkStart w:id="1801" w:name="_Toc457467960"/>
      <w:bookmarkStart w:id="1802" w:name="_Toc457482969"/>
      <w:bookmarkStart w:id="1803" w:name="_Toc457483365"/>
      <w:bookmarkStart w:id="1804" w:name="_Toc457506283"/>
      <w:bookmarkStart w:id="1805" w:name="_Toc457512310"/>
      <w:bookmarkStart w:id="1806" w:name="_Toc457458671"/>
      <w:bookmarkStart w:id="1807" w:name="_Toc457467961"/>
      <w:bookmarkStart w:id="1808" w:name="_Toc457482970"/>
      <w:bookmarkStart w:id="1809" w:name="_Toc457483366"/>
      <w:bookmarkStart w:id="1810" w:name="_Toc457506284"/>
      <w:bookmarkStart w:id="1811" w:name="_Toc457512311"/>
      <w:bookmarkStart w:id="1812" w:name="_Toc457458672"/>
      <w:bookmarkStart w:id="1813" w:name="_Toc457467962"/>
      <w:bookmarkStart w:id="1814" w:name="_Toc457482971"/>
      <w:bookmarkStart w:id="1815" w:name="_Toc457483367"/>
      <w:bookmarkStart w:id="1816" w:name="_Toc457506285"/>
      <w:bookmarkStart w:id="1817" w:name="_Toc457512312"/>
      <w:bookmarkStart w:id="1818" w:name="_Toc457458673"/>
      <w:bookmarkStart w:id="1819" w:name="_Toc457467963"/>
      <w:bookmarkStart w:id="1820" w:name="_Toc457482972"/>
      <w:bookmarkStart w:id="1821" w:name="_Toc457483368"/>
      <w:bookmarkStart w:id="1822" w:name="_Toc457506286"/>
      <w:bookmarkStart w:id="1823" w:name="_Toc457512313"/>
      <w:bookmarkStart w:id="1824" w:name="_Toc457458674"/>
      <w:bookmarkStart w:id="1825" w:name="_Toc457467964"/>
      <w:bookmarkStart w:id="1826" w:name="_Toc457482973"/>
      <w:bookmarkStart w:id="1827" w:name="_Toc457483369"/>
      <w:bookmarkStart w:id="1828" w:name="_Toc457506287"/>
      <w:bookmarkStart w:id="1829" w:name="_Toc457512314"/>
      <w:bookmarkStart w:id="1830" w:name="_Toc457458675"/>
      <w:bookmarkStart w:id="1831" w:name="_Toc457467965"/>
      <w:bookmarkStart w:id="1832" w:name="_Toc457482974"/>
      <w:bookmarkStart w:id="1833" w:name="_Toc457483370"/>
      <w:bookmarkStart w:id="1834" w:name="_Toc457506288"/>
      <w:bookmarkStart w:id="1835" w:name="_Toc457512315"/>
      <w:bookmarkStart w:id="1836" w:name="_Toc457458676"/>
      <w:bookmarkStart w:id="1837" w:name="_Toc457467966"/>
      <w:bookmarkStart w:id="1838" w:name="_Toc457482975"/>
      <w:bookmarkStart w:id="1839" w:name="_Toc457483371"/>
      <w:bookmarkStart w:id="1840" w:name="_Toc457506289"/>
      <w:bookmarkStart w:id="1841" w:name="_Toc457512316"/>
      <w:bookmarkStart w:id="1842" w:name="_Toc457458677"/>
      <w:bookmarkStart w:id="1843" w:name="_Toc457467967"/>
      <w:bookmarkStart w:id="1844" w:name="_Toc457482976"/>
      <w:bookmarkStart w:id="1845" w:name="_Toc457483372"/>
      <w:bookmarkStart w:id="1846" w:name="_Toc457506290"/>
      <w:bookmarkStart w:id="1847" w:name="_Toc457512317"/>
      <w:bookmarkStart w:id="1848" w:name="_Toc457242557"/>
      <w:bookmarkStart w:id="1849" w:name="_Toc457242940"/>
      <w:bookmarkStart w:id="1850" w:name="_Toc457243323"/>
      <w:bookmarkStart w:id="1851" w:name="_Toc457243699"/>
      <w:bookmarkStart w:id="1852" w:name="_Toc457244081"/>
      <w:bookmarkStart w:id="1853" w:name="_Toc457244458"/>
      <w:bookmarkStart w:id="1854" w:name="_Toc457244836"/>
      <w:bookmarkStart w:id="1855" w:name="_Toc457245209"/>
      <w:bookmarkStart w:id="1856" w:name="_Toc457245580"/>
      <w:bookmarkStart w:id="1857" w:name="_Toc457245949"/>
      <w:bookmarkStart w:id="1858" w:name="_Toc457246288"/>
      <w:bookmarkStart w:id="1859" w:name="_Toc457288743"/>
      <w:bookmarkStart w:id="1860" w:name="_Toc457290566"/>
      <w:bookmarkStart w:id="1861" w:name="_Toc457398939"/>
      <w:bookmarkStart w:id="1862" w:name="_Toc457458678"/>
      <w:bookmarkStart w:id="1863" w:name="_Toc457467968"/>
      <w:bookmarkStart w:id="1864" w:name="_Toc457482977"/>
      <w:bookmarkStart w:id="1865" w:name="_Toc457483373"/>
      <w:bookmarkStart w:id="1866" w:name="_Toc457506291"/>
      <w:bookmarkStart w:id="1867" w:name="_Toc457512318"/>
      <w:bookmarkStart w:id="1868" w:name="_Toc457242175"/>
      <w:bookmarkStart w:id="1869" w:name="_Toc457242176"/>
      <w:bookmarkStart w:id="1870" w:name="_Toc457242558"/>
      <w:bookmarkStart w:id="1871" w:name="_Toc457242941"/>
      <w:bookmarkStart w:id="1872" w:name="_Toc457243324"/>
      <w:bookmarkStart w:id="1873" w:name="_Toc457243700"/>
      <w:bookmarkStart w:id="1874" w:name="_Toc457244082"/>
      <w:bookmarkStart w:id="1875" w:name="_Toc457244459"/>
      <w:bookmarkStart w:id="1876" w:name="_Toc457244837"/>
      <w:bookmarkStart w:id="1877" w:name="_Toc457245210"/>
      <w:bookmarkStart w:id="1878" w:name="_Toc457245581"/>
      <w:bookmarkStart w:id="1879" w:name="_Toc457245950"/>
      <w:bookmarkStart w:id="1880" w:name="_Toc457246289"/>
      <w:bookmarkStart w:id="1881" w:name="_Toc457288744"/>
      <w:bookmarkStart w:id="1882" w:name="_Toc457290567"/>
      <w:bookmarkStart w:id="1883" w:name="_Toc457398940"/>
      <w:bookmarkStart w:id="1884" w:name="_Toc457458679"/>
      <w:bookmarkStart w:id="1885" w:name="_Toc457467969"/>
      <w:bookmarkStart w:id="1886" w:name="_Toc457482978"/>
      <w:bookmarkStart w:id="1887" w:name="_Toc457483374"/>
      <w:bookmarkStart w:id="1888" w:name="_Toc457506292"/>
      <w:bookmarkStart w:id="1889" w:name="_Toc457512319"/>
      <w:bookmarkStart w:id="1890" w:name="_Toc457242177"/>
      <w:bookmarkStart w:id="1891" w:name="_Toc457242559"/>
      <w:bookmarkStart w:id="1892" w:name="_Toc457242942"/>
      <w:bookmarkStart w:id="1893" w:name="_Toc457243325"/>
      <w:bookmarkStart w:id="1894" w:name="_Toc457243701"/>
      <w:bookmarkStart w:id="1895" w:name="_Toc457244083"/>
      <w:bookmarkStart w:id="1896" w:name="_Toc457244460"/>
      <w:bookmarkStart w:id="1897" w:name="_Toc457244838"/>
      <w:bookmarkStart w:id="1898" w:name="_Toc457245211"/>
      <w:bookmarkStart w:id="1899" w:name="_Toc457245582"/>
      <w:bookmarkStart w:id="1900" w:name="_Toc457245951"/>
      <w:bookmarkStart w:id="1901" w:name="_Toc457246290"/>
      <w:bookmarkStart w:id="1902" w:name="_Toc457288745"/>
      <w:bookmarkStart w:id="1903" w:name="_Toc457290568"/>
      <w:bookmarkStart w:id="1904" w:name="_Toc457398941"/>
      <w:bookmarkStart w:id="1905" w:name="_Toc457458680"/>
      <w:bookmarkStart w:id="1906" w:name="_Toc457467970"/>
      <w:bookmarkStart w:id="1907" w:name="_Toc457482979"/>
      <w:bookmarkStart w:id="1908" w:name="_Toc457483375"/>
      <w:bookmarkStart w:id="1909" w:name="_Toc457506293"/>
      <w:bookmarkStart w:id="1910" w:name="_Toc457512320"/>
      <w:bookmarkStart w:id="1911" w:name="_Toc457242178"/>
      <w:bookmarkStart w:id="1912" w:name="_Toc457242560"/>
      <w:bookmarkStart w:id="1913" w:name="_Toc457242943"/>
      <w:bookmarkStart w:id="1914" w:name="_Toc457243326"/>
      <w:bookmarkStart w:id="1915" w:name="_Toc457243702"/>
      <w:bookmarkStart w:id="1916" w:name="_Toc457244084"/>
      <w:bookmarkStart w:id="1917" w:name="_Toc457244461"/>
      <w:bookmarkStart w:id="1918" w:name="_Toc457244839"/>
      <w:bookmarkStart w:id="1919" w:name="_Toc457245212"/>
      <w:bookmarkStart w:id="1920" w:name="_Toc457245583"/>
      <w:bookmarkStart w:id="1921" w:name="_Toc457245952"/>
      <w:bookmarkStart w:id="1922" w:name="_Toc457246291"/>
      <w:bookmarkStart w:id="1923" w:name="_Toc457288746"/>
      <w:bookmarkStart w:id="1924" w:name="_Toc457290569"/>
      <w:bookmarkStart w:id="1925" w:name="_Toc457398942"/>
      <w:bookmarkStart w:id="1926" w:name="_Toc457458681"/>
      <w:bookmarkStart w:id="1927" w:name="_Toc457467971"/>
      <w:bookmarkStart w:id="1928" w:name="_Toc457482980"/>
      <w:bookmarkStart w:id="1929" w:name="_Toc457483376"/>
      <w:bookmarkStart w:id="1930" w:name="_Toc457506294"/>
      <w:bookmarkStart w:id="1931" w:name="_Toc457512321"/>
      <w:bookmarkStart w:id="1932" w:name="_Toc457242179"/>
      <w:bookmarkStart w:id="1933" w:name="_Toc457242561"/>
      <w:bookmarkStart w:id="1934" w:name="_Toc457242944"/>
      <w:bookmarkStart w:id="1935" w:name="_Toc457243327"/>
      <w:bookmarkStart w:id="1936" w:name="_Toc457243703"/>
      <w:bookmarkStart w:id="1937" w:name="_Toc457244085"/>
      <w:bookmarkStart w:id="1938" w:name="_Toc457244462"/>
      <w:bookmarkStart w:id="1939" w:name="_Toc457244840"/>
      <w:bookmarkStart w:id="1940" w:name="_Toc457245213"/>
      <w:bookmarkStart w:id="1941" w:name="_Toc457245584"/>
      <w:bookmarkStart w:id="1942" w:name="_Toc457245953"/>
      <w:bookmarkStart w:id="1943" w:name="_Toc457246292"/>
      <w:bookmarkStart w:id="1944" w:name="_Toc457288747"/>
      <w:bookmarkStart w:id="1945" w:name="_Toc457290570"/>
      <w:bookmarkStart w:id="1946" w:name="_Toc457398943"/>
      <w:bookmarkStart w:id="1947" w:name="_Toc457458682"/>
      <w:bookmarkStart w:id="1948" w:name="_Toc457467972"/>
      <w:bookmarkStart w:id="1949" w:name="_Toc457482981"/>
      <w:bookmarkStart w:id="1950" w:name="_Toc457483377"/>
      <w:bookmarkStart w:id="1951" w:name="_Toc457506295"/>
      <w:bookmarkStart w:id="1952" w:name="_Toc457512322"/>
      <w:bookmarkStart w:id="1953" w:name="_Toc457242180"/>
      <w:bookmarkStart w:id="1954" w:name="_Toc457242562"/>
      <w:bookmarkStart w:id="1955" w:name="_Toc457242945"/>
      <w:bookmarkStart w:id="1956" w:name="_Toc457243328"/>
      <w:bookmarkStart w:id="1957" w:name="_Toc457243704"/>
      <w:bookmarkStart w:id="1958" w:name="_Toc457244086"/>
      <w:bookmarkStart w:id="1959" w:name="_Toc457244463"/>
      <w:bookmarkStart w:id="1960" w:name="_Toc457244841"/>
      <w:bookmarkStart w:id="1961" w:name="_Toc457245214"/>
      <w:bookmarkStart w:id="1962" w:name="_Toc457245585"/>
      <w:bookmarkStart w:id="1963" w:name="_Toc457245954"/>
      <w:bookmarkStart w:id="1964" w:name="_Toc457246293"/>
      <w:bookmarkStart w:id="1965" w:name="_Toc457288748"/>
      <w:bookmarkStart w:id="1966" w:name="_Toc457290571"/>
      <w:bookmarkStart w:id="1967" w:name="_Toc457398944"/>
      <w:bookmarkStart w:id="1968" w:name="_Toc457458683"/>
      <w:bookmarkStart w:id="1969" w:name="_Toc457467973"/>
      <w:bookmarkStart w:id="1970" w:name="_Toc457482982"/>
      <w:bookmarkStart w:id="1971" w:name="_Toc457483378"/>
      <w:bookmarkStart w:id="1972" w:name="_Toc457506296"/>
      <w:bookmarkStart w:id="1973" w:name="_Toc457512323"/>
      <w:bookmarkStart w:id="1974" w:name="_Toc457242181"/>
      <w:bookmarkStart w:id="1975" w:name="_Toc457242563"/>
      <w:bookmarkStart w:id="1976" w:name="_Toc457242946"/>
      <w:bookmarkStart w:id="1977" w:name="_Toc457243329"/>
      <w:bookmarkStart w:id="1978" w:name="_Toc457243705"/>
      <w:bookmarkStart w:id="1979" w:name="_Toc457244087"/>
      <w:bookmarkStart w:id="1980" w:name="_Toc457244464"/>
      <w:bookmarkStart w:id="1981" w:name="_Toc457244842"/>
      <w:bookmarkStart w:id="1982" w:name="_Toc457245215"/>
      <w:bookmarkStart w:id="1983" w:name="_Toc457245586"/>
      <w:bookmarkStart w:id="1984" w:name="_Toc457245955"/>
      <w:bookmarkStart w:id="1985" w:name="_Toc457246294"/>
      <w:bookmarkStart w:id="1986" w:name="_Toc457288749"/>
      <w:bookmarkStart w:id="1987" w:name="_Toc457290572"/>
      <w:bookmarkStart w:id="1988" w:name="_Toc457398945"/>
      <w:bookmarkStart w:id="1989" w:name="_Toc457458684"/>
      <w:bookmarkStart w:id="1990" w:name="_Toc457467974"/>
      <w:bookmarkStart w:id="1991" w:name="_Toc457482983"/>
      <w:bookmarkStart w:id="1992" w:name="_Toc457483379"/>
      <w:bookmarkStart w:id="1993" w:name="_Toc457506297"/>
      <w:bookmarkStart w:id="1994" w:name="_Toc457512324"/>
      <w:bookmarkStart w:id="1995" w:name="_Toc457242182"/>
      <w:bookmarkStart w:id="1996" w:name="_Toc457242564"/>
      <w:bookmarkStart w:id="1997" w:name="_Toc457242947"/>
      <w:bookmarkStart w:id="1998" w:name="_Toc457243330"/>
      <w:bookmarkStart w:id="1999" w:name="_Toc457243706"/>
      <w:bookmarkStart w:id="2000" w:name="_Toc457244088"/>
      <w:bookmarkStart w:id="2001" w:name="_Toc457244465"/>
      <w:bookmarkStart w:id="2002" w:name="_Toc457244843"/>
      <w:bookmarkStart w:id="2003" w:name="_Toc457245216"/>
      <w:bookmarkStart w:id="2004" w:name="_Toc457245587"/>
      <w:bookmarkStart w:id="2005" w:name="_Toc457245956"/>
      <w:bookmarkStart w:id="2006" w:name="_Toc457246295"/>
      <w:bookmarkStart w:id="2007" w:name="_Toc457288750"/>
      <w:bookmarkStart w:id="2008" w:name="_Toc457290573"/>
      <w:bookmarkStart w:id="2009" w:name="_Toc457398946"/>
      <w:bookmarkStart w:id="2010" w:name="_Toc457458685"/>
      <w:bookmarkStart w:id="2011" w:name="_Toc457467975"/>
      <w:bookmarkStart w:id="2012" w:name="_Toc457482984"/>
      <w:bookmarkStart w:id="2013" w:name="_Toc457483380"/>
      <w:bookmarkStart w:id="2014" w:name="_Toc457506298"/>
      <w:bookmarkStart w:id="2015" w:name="_Toc457512325"/>
      <w:bookmarkStart w:id="2016" w:name="_Toc457242183"/>
      <w:bookmarkStart w:id="2017" w:name="_Toc457242565"/>
      <w:bookmarkStart w:id="2018" w:name="_Toc457242948"/>
      <w:bookmarkStart w:id="2019" w:name="_Toc457243331"/>
      <w:bookmarkStart w:id="2020" w:name="_Toc457243707"/>
      <w:bookmarkStart w:id="2021" w:name="_Toc457244089"/>
      <w:bookmarkStart w:id="2022" w:name="_Toc457244466"/>
      <w:bookmarkStart w:id="2023" w:name="_Toc457244844"/>
      <w:bookmarkStart w:id="2024" w:name="_Toc457245217"/>
      <w:bookmarkStart w:id="2025" w:name="_Toc457245588"/>
      <w:bookmarkStart w:id="2026" w:name="_Toc457245957"/>
      <w:bookmarkStart w:id="2027" w:name="_Toc457246296"/>
      <w:bookmarkStart w:id="2028" w:name="_Toc457288751"/>
      <w:bookmarkStart w:id="2029" w:name="_Toc457290574"/>
      <w:bookmarkStart w:id="2030" w:name="_Toc457398947"/>
      <w:bookmarkStart w:id="2031" w:name="_Toc457458686"/>
      <w:bookmarkStart w:id="2032" w:name="_Toc457467976"/>
      <w:bookmarkStart w:id="2033" w:name="_Toc457482985"/>
      <w:bookmarkStart w:id="2034" w:name="_Toc457483381"/>
      <w:bookmarkStart w:id="2035" w:name="_Toc457506299"/>
      <w:bookmarkStart w:id="2036" w:name="_Toc457512326"/>
      <w:bookmarkStart w:id="2037" w:name="_Toc457242184"/>
      <w:bookmarkStart w:id="2038" w:name="_Toc457242566"/>
      <w:bookmarkStart w:id="2039" w:name="_Toc457242949"/>
      <w:bookmarkStart w:id="2040" w:name="_Toc457243332"/>
      <w:bookmarkStart w:id="2041" w:name="_Toc457243708"/>
      <w:bookmarkStart w:id="2042" w:name="_Toc457244090"/>
      <w:bookmarkStart w:id="2043" w:name="_Toc457244467"/>
      <w:bookmarkStart w:id="2044" w:name="_Toc457244845"/>
      <w:bookmarkStart w:id="2045" w:name="_Toc457245218"/>
      <w:bookmarkStart w:id="2046" w:name="_Toc457245589"/>
      <w:bookmarkStart w:id="2047" w:name="_Toc457245958"/>
      <w:bookmarkStart w:id="2048" w:name="_Toc457246297"/>
      <w:bookmarkStart w:id="2049" w:name="_Toc457288752"/>
      <w:bookmarkStart w:id="2050" w:name="_Toc457290575"/>
      <w:bookmarkStart w:id="2051" w:name="_Toc457398948"/>
      <w:bookmarkStart w:id="2052" w:name="_Toc457458687"/>
      <w:bookmarkStart w:id="2053" w:name="_Toc457467977"/>
      <w:bookmarkStart w:id="2054" w:name="_Toc457482986"/>
      <w:bookmarkStart w:id="2055" w:name="_Toc457483382"/>
      <w:bookmarkStart w:id="2056" w:name="_Toc457506300"/>
      <w:bookmarkStart w:id="2057" w:name="_Toc457512327"/>
      <w:bookmarkStart w:id="2058" w:name="_Toc457242185"/>
      <w:bookmarkStart w:id="2059" w:name="_Toc457242567"/>
      <w:bookmarkStart w:id="2060" w:name="_Toc457242950"/>
      <w:bookmarkStart w:id="2061" w:name="_Toc457243333"/>
      <w:bookmarkStart w:id="2062" w:name="_Toc457243709"/>
      <w:bookmarkStart w:id="2063" w:name="_Toc457244091"/>
      <w:bookmarkStart w:id="2064" w:name="_Toc457244468"/>
      <w:bookmarkStart w:id="2065" w:name="_Toc457244846"/>
      <w:bookmarkStart w:id="2066" w:name="_Toc457245219"/>
      <w:bookmarkStart w:id="2067" w:name="_Toc457245590"/>
      <w:bookmarkStart w:id="2068" w:name="_Toc457245959"/>
      <w:bookmarkStart w:id="2069" w:name="_Toc457246298"/>
      <w:bookmarkStart w:id="2070" w:name="_Toc457288753"/>
      <w:bookmarkStart w:id="2071" w:name="_Toc457290576"/>
      <w:bookmarkStart w:id="2072" w:name="_Toc457398949"/>
      <w:bookmarkStart w:id="2073" w:name="_Toc457458688"/>
      <w:bookmarkStart w:id="2074" w:name="_Toc457467978"/>
      <w:bookmarkStart w:id="2075" w:name="_Toc457482987"/>
      <w:bookmarkStart w:id="2076" w:name="_Toc457483383"/>
      <w:bookmarkStart w:id="2077" w:name="_Toc457506301"/>
      <w:bookmarkStart w:id="2078" w:name="_Toc457512328"/>
      <w:bookmarkStart w:id="2079" w:name="_Toc457242186"/>
      <w:bookmarkStart w:id="2080" w:name="_Toc457242568"/>
      <w:bookmarkStart w:id="2081" w:name="_Toc457242951"/>
      <w:bookmarkStart w:id="2082" w:name="_Toc457243334"/>
      <w:bookmarkStart w:id="2083" w:name="_Toc457243710"/>
      <w:bookmarkStart w:id="2084" w:name="_Toc457244092"/>
      <w:bookmarkStart w:id="2085" w:name="_Toc457244469"/>
      <w:bookmarkStart w:id="2086" w:name="_Toc457244847"/>
      <w:bookmarkStart w:id="2087" w:name="_Toc457245220"/>
      <w:bookmarkStart w:id="2088" w:name="_Toc457245591"/>
      <w:bookmarkStart w:id="2089" w:name="_Toc457245960"/>
      <w:bookmarkStart w:id="2090" w:name="_Toc457246299"/>
      <w:bookmarkStart w:id="2091" w:name="_Toc457288754"/>
      <w:bookmarkStart w:id="2092" w:name="_Toc457290577"/>
      <w:bookmarkStart w:id="2093" w:name="_Toc457398950"/>
      <w:bookmarkStart w:id="2094" w:name="_Toc457458689"/>
      <w:bookmarkStart w:id="2095" w:name="_Toc457467979"/>
      <w:bookmarkStart w:id="2096" w:name="_Toc457482988"/>
      <w:bookmarkStart w:id="2097" w:name="_Toc457483384"/>
      <w:bookmarkStart w:id="2098" w:name="_Toc457506302"/>
      <w:bookmarkStart w:id="2099" w:name="_Toc457512329"/>
      <w:bookmarkStart w:id="2100" w:name="_Toc457242187"/>
      <w:bookmarkStart w:id="2101" w:name="_Toc457242569"/>
      <w:bookmarkStart w:id="2102" w:name="_Toc457242952"/>
      <w:bookmarkStart w:id="2103" w:name="_Toc457243335"/>
      <w:bookmarkStart w:id="2104" w:name="_Toc457243711"/>
      <w:bookmarkStart w:id="2105" w:name="_Toc457244093"/>
      <w:bookmarkStart w:id="2106" w:name="_Toc457244470"/>
      <w:bookmarkStart w:id="2107" w:name="_Toc457244848"/>
      <w:bookmarkStart w:id="2108" w:name="_Toc457245221"/>
      <w:bookmarkStart w:id="2109" w:name="_Toc457245592"/>
      <w:bookmarkStart w:id="2110" w:name="_Toc457245961"/>
      <w:bookmarkStart w:id="2111" w:name="_Toc457246300"/>
      <w:bookmarkStart w:id="2112" w:name="_Toc457288755"/>
      <w:bookmarkStart w:id="2113" w:name="_Toc457290578"/>
      <w:bookmarkStart w:id="2114" w:name="_Toc457398951"/>
      <w:bookmarkStart w:id="2115" w:name="_Toc457458690"/>
      <w:bookmarkStart w:id="2116" w:name="_Toc457467980"/>
      <w:bookmarkStart w:id="2117" w:name="_Toc457482989"/>
      <w:bookmarkStart w:id="2118" w:name="_Toc457483385"/>
      <w:bookmarkStart w:id="2119" w:name="_Toc457506303"/>
      <w:bookmarkStart w:id="2120" w:name="_Toc457512330"/>
      <w:bookmarkStart w:id="2121" w:name="_Toc457242188"/>
      <w:bookmarkStart w:id="2122" w:name="_Toc457242570"/>
      <w:bookmarkStart w:id="2123" w:name="_Toc457242953"/>
      <w:bookmarkStart w:id="2124" w:name="_Toc457243336"/>
      <w:bookmarkStart w:id="2125" w:name="_Toc457243712"/>
      <w:bookmarkStart w:id="2126" w:name="_Toc457244094"/>
      <w:bookmarkStart w:id="2127" w:name="_Toc457244471"/>
      <w:bookmarkStart w:id="2128" w:name="_Toc457244849"/>
      <w:bookmarkStart w:id="2129" w:name="_Toc457245222"/>
      <w:bookmarkStart w:id="2130" w:name="_Toc457245593"/>
      <w:bookmarkStart w:id="2131" w:name="_Toc457245962"/>
      <w:bookmarkStart w:id="2132" w:name="_Toc457246301"/>
      <w:bookmarkStart w:id="2133" w:name="_Toc457288756"/>
      <w:bookmarkStart w:id="2134" w:name="_Toc457290579"/>
      <w:bookmarkStart w:id="2135" w:name="_Toc457398952"/>
      <w:bookmarkStart w:id="2136" w:name="_Toc457458691"/>
      <w:bookmarkStart w:id="2137" w:name="_Toc457467981"/>
      <w:bookmarkStart w:id="2138" w:name="_Toc457482990"/>
      <w:bookmarkStart w:id="2139" w:name="_Toc457483386"/>
      <w:bookmarkStart w:id="2140" w:name="_Toc457506304"/>
      <w:bookmarkStart w:id="2141" w:name="_Toc457512331"/>
      <w:bookmarkStart w:id="2142" w:name="_Toc457242189"/>
      <w:bookmarkStart w:id="2143" w:name="_Toc457242571"/>
      <w:bookmarkStart w:id="2144" w:name="_Toc457242954"/>
      <w:bookmarkStart w:id="2145" w:name="_Toc457243337"/>
      <w:bookmarkStart w:id="2146" w:name="_Toc457243713"/>
      <w:bookmarkStart w:id="2147" w:name="_Toc457244095"/>
      <w:bookmarkStart w:id="2148" w:name="_Toc457244472"/>
      <w:bookmarkStart w:id="2149" w:name="_Toc457244850"/>
      <w:bookmarkStart w:id="2150" w:name="_Toc457245223"/>
      <w:bookmarkStart w:id="2151" w:name="_Toc457245594"/>
      <w:bookmarkStart w:id="2152" w:name="_Toc457245963"/>
      <w:bookmarkStart w:id="2153" w:name="_Toc457246302"/>
      <w:bookmarkStart w:id="2154" w:name="_Toc457288757"/>
      <w:bookmarkStart w:id="2155" w:name="_Toc457290580"/>
      <w:bookmarkStart w:id="2156" w:name="_Toc457398953"/>
      <w:bookmarkStart w:id="2157" w:name="_Toc457458692"/>
      <w:bookmarkStart w:id="2158" w:name="_Toc457467982"/>
      <w:bookmarkStart w:id="2159" w:name="_Toc457482991"/>
      <w:bookmarkStart w:id="2160" w:name="_Toc457483387"/>
      <w:bookmarkStart w:id="2161" w:name="_Toc457506305"/>
      <w:bookmarkStart w:id="2162" w:name="_Toc457512332"/>
      <w:bookmarkStart w:id="2163" w:name="_Toc457242190"/>
      <w:bookmarkStart w:id="2164" w:name="_Toc457242572"/>
      <w:bookmarkStart w:id="2165" w:name="_Toc457242955"/>
      <w:bookmarkStart w:id="2166" w:name="_Toc457243338"/>
      <w:bookmarkStart w:id="2167" w:name="_Toc457243714"/>
      <w:bookmarkStart w:id="2168" w:name="_Toc457244096"/>
      <w:bookmarkStart w:id="2169" w:name="_Toc457244473"/>
      <w:bookmarkStart w:id="2170" w:name="_Toc457244851"/>
      <w:bookmarkStart w:id="2171" w:name="_Toc457245224"/>
      <w:bookmarkStart w:id="2172" w:name="_Toc457245595"/>
      <w:bookmarkStart w:id="2173" w:name="_Toc457245964"/>
      <w:bookmarkStart w:id="2174" w:name="_Toc457246303"/>
      <w:bookmarkStart w:id="2175" w:name="_Toc457288758"/>
      <w:bookmarkStart w:id="2176" w:name="_Toc457290581"/>
      <w:bookmarkStart w:id="2177" w:name="_Toc457398954"/>
      <w:bookmarkStart w:id="2178" w:name="_Toc457458693"/>
      <w:bookmarkStart w:id="2179" w:name="_Toc457467983"/>
      <w:bookmarkStart w:id="2180" w:name="_Toc457482992"/>
      <w:bookmarkStart w:id="2181" w:name="_Toc457483388"/>
      <w:bookmarkStart w:id="2182" w:name="_Toc457506306"/>
      <w:bookmarkStart w:id="2183" w:name="_Toc457512333"/>
      <w:bookmarkStart w:id="2184" w:name="_Toc457242191"/>
      <w:bookmarkStart w:id="2185" w:name="_Toc457242573"/>
      <w:bookmarkStart w:id="2186" w:name="_Toc457242956"/>
      <w:bookmarkStart w:id="2187" w:name="_Toc457243339"/>
      <w:bookmarkStart w:id="2188" w:name="_Toc457243715"/>
      <w:bookmarkStart w:id="2189" w:name="_Toc457244097"/>
      <w:bookmarkStart w:id="2190" w:name="_Toc457244474"/>
      <w:bookmarkStart w:id="2191" w:name="_Toc457244852"/>
      <w:bookmarkStart w:id="2192" w:name="_Toc457245225"/>
      <w:bookmarkStart w:id="2193" w:name="_Toc457245596"/>
      <w:bookmarkStart w:id="2194" w:name="_Toc457245965"/>
      <w:bookmarkStart w:id="2195" w:name="_Toc457246304"/>
      <w:bookmarkStart w:id="2196" w:name="_Toc457288759"/>
      <w:bookmarkStart w:id="2197" w:name="_Toc457290582"/>
      <w:bookmarkStart w:id="2198" w:name="_Toc457398955"/>
      <w:bookmarkStart w:id="2199" w:name="_Toc457458694"/>
      <w:bookmarkStart w:id="2200" w:name="_Toc457467984"/>
      <w:bookmarkStart w:id="2201" w:name="_Toc457482993"/>
      <w:bookmarkStart w:id="2202" w:name="_Toc457483389"/>
      <w:bookmarkStart w:id="2203" w:name="_Toc457506307"/>
      <w:bookmarkStart w:id="2204" w:name="_Toc457512334"/>
      <w:bookmarkStart w:id="2205" w:name="_Toc457242192"/>
      <w:bookmarkStart w:id="2206" w:name="_Toc457242574"/>
      <w:bookmarkStart w:id="2207" w:name="_Toc457242957"/>
      <w:bookmarkStart w:id="2208" w:name="_Toc457243340"/>
      <w:bookmarkStart w:id="2209" w:name="_Toc457243716"/>
      <w:bookmarkStart w:id="2210" w:name="_Toc457244098"/>
      <w:bookmarkStart w:id="2211" w:name="_Toc457244475"/>
      <w:bookmarkStart w:id="2212" w:name="_Toc457244853"/>
      <w:bookmarkStart w:id="2213" w:name="_Toc457245226"/>
      <w:bookmarkStart w:id="2214" w:name="_Toc457245597"/>
      <w:bookmarkStart w:id="2215" w:name="_Toc457245966"/>
      <w:bookmarkStart w:id="2216" w:name="_Toc457246305"/>
      <w:bookmarkStart w:id="2217" w:name="_Toc457288760"/>
      <w:bookmarkStart w:id="2218" w:name="_Toc457290583"/>
      <w:bookmarkStart w:id="2219" w:name="_Toc457398956"/>
      <w:bookmarkStart w:id="2220" w:name="_Toc457458695"/>
      <w:bookmarkStart w:id="2221" w:name="_Toc457467985"/>
      <w:bookmarkStart w:id="2222" w:name="_Toc457482994"/>
      <w:bookmarkStart w:id="2223" w:name="_Toc457483390"/>
      <w:bookmarkStart w:id="2224" w:name="_Toc457506308"/>
      <w:bookmarkStart w:id="2225" w:name="_Toc457512335"/>
      <w:bookmarkStart w:id="2226" w:name="_Toc457242193"/>
      <w:bookmarkStart w:id="2227" w:name="_Toc457242575"/>
      <w:bookmarkStart w:id="2228" w:name="_Toc457242958"/>
      <w:bookmarkStart w:id="2229" w:name="_Toc457243341"/>
      <w:bookmarkStart w:id="2230" w:name="_Toc457243717"/>
      <w:bookmarkStart w:id="2231" w:name="_Toc457244099"/>
      <w:bookmarkStart w:id="2232" w:name="_Toc457244476"/>
      <w:bookmarkStart w:id="2233" w:name="_Toc457244854"/>
      <w:bookmarkStart w:id="2234" w:name="_Toc457245227"/>
      <w:bookmarkStart w:id="2235" w:name="_Toc457245598"/>
      <w:bookmarkStart w:id="2236" w:name="_Toc457245967"/>
      <w:bookmarkStart w:id="2237" w:name="_Toc457246306"/>
      <w:bookmarkStart w:id="2238" w:name="_Toc457288761"/>
      <w:bookmarkStart w:id="2239" w:name="_Toc457290584"/>
      <w:bookmarkStart w:id="2240" w:name="_Toc457398957"/>
      <w:bookmarkStart w:id="2241" w:name="_Toc457458696"/>
      <w:bookmarkStart w:id="2242" w:name="_Toc457467986"/>
      <w:bookmarkStart w:id="2243" w:name="_Toc457482995"/>
      <w:bookmarkStart w:id="2244" w:name="_Toc457483391"/>
      <w:bookmarkStart w:id="2245" w:name="_Toc457506309"/>
      <w:bookmarkStart w:id="2246" w:name="_Toc457512336"/>
      <w:bookmarkStart w:id="2247" w:name="_Toc457242194"/>
      <w:bookmarkStart w:id="2248" w:name="_Toc457242576"/>
      <w:bookmarkStart w:id="2249" w:name="_Toc457242959"/>
      <w:bookmarkStart w:id="2250" w:name="_Toc457243342"/>
      <w:bookmarkStart w:id="2251" w:name="_Toc457243718"/>
      <w:bookmarkStart w:id="2252" w:name="_Toc457244100"/>
      <w:bookmarkStart w:id="2253" w:name="_Toc457244477"/>
      <w:bookmarkStart w:id="2254" w:name="_Toc457244855"/>
      <w:bookmarkStart w:id="2255" w:name="_Toc457245228"/>
      <w:bookmarkStart w:id="2256" w:name="_Toc457245599"/>
      <w:bookmarkStart w:id="2257" w:name="_Toc457245968"/>
      <w:bookmarkStart w:id="2258" w:name="_Toc457246307"/>
      <w:bookmarkStart w:id="2259" w:name="_Toc457288762"/>
      <w:bookmarkStart w:id="2260" w:name="_Toc457290585"/>
      <w:bookmarkStart w:id="2261" w:name="_Toc457398958"/>
      <w:bookmarkStart w:id="2262" w:name="_Toc457458697"/>
      <w:bookmarkStart w:id="2263" w:name="_Toc457467987"/>
      <w:bookmarkStart w:id="2264" w:name="_Toc457482996"/>
      <w:bookmarkStart w:id="2265" w:name="_Toc457483392"/>
      <w:bookmarkStart w:id="2266" w:name="_Toc457506310"/>
      <w:bookmarkStart w:id="2267" w:name="_Toc457512337"/>
      <w:bookmarkStart w:id="2268" w:name="_Toc457242195"/>
      <w:bookmarkStart w:id="2269" w:name="_Toc457242577"/>
      <w:bookmarkStart w:id="2270" w:name="_Toc457242960"/>
      <w:bookmarkStart w:id="2271" w:name="_Toc457243343"/>
      <w:bookmarkStart w:id="2272" w:name="_Toc457243719"/>
      <w:bookmarkStart w:id="2273" w:name="_Toc457244101"/>
      <w:bookmarkStart w:id="2274" w:name="_Toc457244478"/>
      <w:bookmarkStart w:id="2275" w:name="_Toc457244856"/>
      <w:bookmarkStart w:id="2276" w:name="_Toc457245229"/>
      <w:bookmarkStart w:id="2277" w:name="_Toc457245600"/>
      <w:bookmarkStart w:id="2278" w:name="_Toc457245969"/>
      <w:bookmarkStart w:id="2279" w:name="_Toc457246308"/>
      <w:bookmarkStart w:id="2280" w:name="_Toc457288763"/>
      <w:bookmarkStart w:id="2281" w:name="_Toc457290586"/>
      <w:bookmarkStart w:id="2282" w:name="_Toc457398959"/>
      <w:bookmarkStart w:id="2283" w:name="_Toc457458698"/>
      <w:bookmarkStart w:id="2284" w:name="_Toc457467988"/>
      <w:bookmarkStart w:id="2285" w:name="_Toc457482997"/>
      <w:bookmarkStart w:id="2286" w:name="_Toc457483393"/>
      <w:bookmarkStart w:id="2287" w:name="_Toc457506311"/>
      <w:bookmarkStart w:id="2288" w:name="_Toc457512338"/>
      <w:bookmarkStart w:id="2289" w:name="_Toc457242196"/>
      <w:bookmarkStart w:id="2290" w:name="_Toc457242578"/>
      <w:bookmarkStart w:id="2291" w:name="_Toc457242961"/>
      <w:bookmarkStart w:id="2292" w:name="_Toc457243344"/>
      <w:bookmarkStart w:id="2293" w:name="_Toc457243720"/>
      <w:bookmarkStart w:id="2294" w:name="_Toc457244102"/>
      <w:bookmarkStart w:id="2295" w:name="_Toc457244479"/>
      <w:bookmarkStart w:id="2296" w:name="_Toc457244857"/>
      <w:bookmarkStart w:id="2297" w:name="_Toc457245230"/>
      <w:bookmarkStart w:id="2298" w:name="_Toc457245601"/>
      <w:bookmarkStart w:id="2299" w:name="_Toc457245970"/>
      <w:bookmarkStart w:id="2300" w:name="_Toc457246309"/>
      <w:bookmarkStart w:id="2301" w:name="_Toc457288764"/>
      <w:bookmarkStart w:id="2302" w:name="_Toc457290587"/>
      <w:bookmarkStart w:id="2303" w:name="_Toc457398960"/>
      <w:bookmarkStart w:id="2304" w:name="_Toc457458699"/>
      <w:bookmarkStart w:id="2305" w:name="_Toc457467989"/>
      <w:bookmarkStart w:id="2306" w:name="_Toc457482998"/>
      <w:bookmarkStart w:id="2307" w:name="_Toc457483394"/>
      <w:bookmarkStart w:id="2308" w:name="_Toc457506312"/>
      <w:bookmarkStart w:id="2309" w:name="_Toc457512339"/>
      <w:bookmarkStart w:id="2310" w:name="_Toc457242197"/>
      <w:bookmarkStart w:id="2311" w:name="_Toc457242579"/>
      <w:bookmarkStart w:id="2312" w:name="_Toc457242962"/>
      <w:bookmarkStart w:id="2313" w:name="_Toc457243345"/>
      <w:bookmarkStart w:id="2314" w:name="_Toc457243721"/>
      <w:bookmarkStart w:id="2315" w:name="_Toc457244103"/>
      <w:bookmarkStart w:id="2316" w:name="_Toc457244480"/>
      <w:bookmarkStart w:id="2317" w:name="_Toc457244858"/>
      <w:bookmarkStart w:id="2318" w:name="_Toc457245231"/>
      <w:bookmarkStart w:id="2319" w:name="_Toc457245602"/>
      <w:bookmarkStart w:id="2320" w:name="_Toc457245971"/>
      <w:bookmarkStart w:id="2321" w:name="_Toc457246310"/>
      <w:bookmarkStart w:id="2322" w:name="_Toc457288765"/>
      <w:bookmarkStart w:id="2323" w:name="_Toc457290588"/>
      <w:bookmarkStart w:id="2324" w:name="_Toc457398961"/>
      <w:bookmarkStart w:id="2325" w:name="_Toc457458700"/>
      <w:bookmarkStart w:id="2326" w:name="_Toc457467990"/>
      <w:bookmarkStart w:id="2327" w:name="_Toc457482999"/>
      <w:bookmarkStart w:id="2328" w:name="_Toc457483395"/>
      <w:bookmarkStart w:id="2329" w:name="_Toc457506313"/>
      <w:bookmarkStart w:id="2330" w:name="_Toc457512340"/>
      <w:bookmarkStart w:id="2331" w:name="_Toc457242198"/>
      <w:bookmarkStart w:id="2332" w:name="_Toc457242580"/>
      <w:bookmarkStart w:id="2333" w:name="_Toc457242963"/>
      <w:bookmarkStart w:id="2334" w:name="_Toc457243346"/>
      <w:bookmarkStart w:id="2335" w:name="_Toc457243722"/>
      <w:bookmarkStart w:id="2336" w:name="_Toc457244104"/>
      <w:bookmarkStart w:id="2337" w:name="_Toc457244481"/>
      <w:bookmarkStart w:id="2338" w:name="_Toc457244859"/>
      <w:bookmarkStart w:id="2339" w:name="_Toc457245232"/>
      <w:bookmarkStart w:id="2340" w:name="_Toc457245603"/>
      <w:bookmarkStart w:id="2341" w:name="_Toc457245972"/>
      <w:bookmarkStart w:id="2342" w:name="_Toc457246311"/>
      <w:bookmarkStart w:id="2343" w:name="_Toc457288766"/>
      <w:bookmarkStart w:id="2344" w:name="_Toc457290589"/>
      <w:bookmarkStart w:id="2345" w:name="_Toc457398962"/>
      <w:bookmarkStart w:id="2346" w:name="_Toc457458701"/>
      <w:bookmarkStart w:id="2347" w:name="_Toc457467991"/>
      <w:bookmarkStart w:id="2348" w:name="_Toc457483000"/>
      <w:bookmarkStart w:id="2349" w:name="_Toc457483396"/>
      <w:bookmarkStart w:id="2350" w:name="_Toc457506314"/>
      <w:bookmarkStart w:id="2351" w:name="_Toc457512341"/>
      <w:bookmarkStart w:id="2352" w:name="_Toc457242199"/>
      <w:bookmarkStart w:id="2353" w:name="_Toc457242581"/>
      <w:bookmarkStart w:id="2354" w:name="_Toc457242964"/>
      <w:bookmarkStart w:id="2355" w:name="_Toc457243347"/>
      <w:bookmarkStart w:id="2356" w:name="_Toc457243723"/>
      <w:bookmarkStart w:id="2357" w:name="_Toc457244105"/>
      <w:bookmarkStart w:id="2358" w:name="_Toc457244482"/>
      <w:bookmarkStart w:id="2359" w:name="_Toc457244860"/>
      <w:bookmarkStart w:id="2360" w:name="_Toc457245233"/>
      <w:bookmarkStart w:id="2361" w:name="_Toc457245604"/>
      <w:bookmarkStart w:id="2362" w:name="_Toc457245973"/>
      <w:bookmarkStart w:id="2363" w:name="_Toc457246312"/>
      <w:bookmarkStart w:id="2364" w:name="_Toc457288767"/>
      <w:bookmarkStart w:id="2365" w:name="_Toc457290590"/>
      <w:bookmarkStart w:id="2366" w:name="_Toc457398963"/>
      <w:bookmarkStart w:id="2367" w:name="_Toc457458702"/>
      <w:bookmarkStart w:id="2368" w:name="_Toc457467992"/>
      <w:bookmarkStart w:id="2369" w:name="_Toc457483001"/>
      <w:bookmarkStart w:id="2370" w:name="_Toc457483397"/>
      <w:bookmarkStart w:id="2371" w:name="_Toc457506315"/>
      <w:bookmarkStart w:id="2372" w:name="_Toc457512342"/>
      <w:bookmarkStart w:id="2373" w:name="_Toc457242200"/>
      <w:bookmarkStart w:id="2374" w:name="_Toc457242582"/>
      <w:bookmarkStart w:id="2375" w:name="_Toc457242965"/>
      <w:bookmarkStart w:id="2376" w:name="_Toc457243348"/>
      <w:bookmarkStart w:id="2377" w:name="_Toc457243724"/>
      <w:bookmarkStart w:id="2378" w:name="_Toc457244106"/>
      <w:bookmarkStart w:id="2379" w:name="_Toc457244483"/>
      <w:bookmarkStart w:id="2380" w:name="_Toc457244861"/>
      <w:bookmarkStart w:id="2381" w:name="_Toc457245234"/>
      <w:bookmarkStart w:id="2382" w:name="_Toc457245605"/>
      <w:bookmarkStart w:id="2383" w:name="_Toc457245974"/>
      <w:bookmarkStart w:id="2384" w:name="_Toc457246313"/>
      <w:bookmarkStart w:id="2385" w:name="_Toc457288768"/>
      <w:bookmarkStart w:id="2386" w:name="_Toc457290591"/>
      <w:bookmarkStart w:id="2387" w:name="_Toc457398964"/>
      <w:bookmarkStart w:id="2388" w:name="_Toc457458703"/>
      <w:bookmarkStart w:id="2389" w:name="_Toc457467993"/>
      <w:bookmarkStart w:id="2390" w:name="_Toc457483002"/>
      <w:bookmarkStart w:id="2391" w:name="_Toc457483398"/>
      <w:bookmarkStart w:id="2392" w:name="_Toc457506316"/>
      <w:bookmarkStart w:id="2393" w:name="_Toc457512343"/>
      <w:bookmarkStart w:id="2394" w:name="_Toc457242201"/>
      <w:bookmarkStart w:id="2395" w:name="_Toc457242583"/>
      <w:bookmarkStart w:id="2396" w:name="_Toc457242966"/>
      <w:bookmarkStart w:id="2397" w:name="_Toc457243349"/>
      <w:bookmarkStart w:id="2398" w:name="_Toc457243725"/>
      <w:bookmarkStart w:id="2399" w:name="_Toc457244107"/>
      <w:bookmarkStart w:id="2400" w:name="_Toc457244484"/>
      <w:bookmarkStart w:id="2401" w:name="_Toc457244862"/>
      <w:bookmarkStart w:id="2402" w:name="_Toc457245235"/>
      <w:bookmarkStart w:id="2403" w:name="_Toc457245606"/>
      <w:bookmarkStart w:id="2404" w:name="_Toc457245975"/>
      <w:bookmarkStart w:id="2405" w:name="_Toc457246314"/>
      <w:bookmarkStart w:id="2406" w:name="_Toc457288769"/>
      <w:bookmarkStart w:id="2407" w:name="_Toc457290592"/>
      <w:bookmarkStart w:id="2408" w:name="_Toc457398965"/>
      <w:bookmarkStart w:id="2409" w:name="_Toc457458704"/>
      <w:bookmarkStart w:id="2410" w:name="_Toc457467994"/>
      <w:bookmarkStart w:id="2411" w:name="_Toc457483003"/>
      <w:bookmarkStart w:id="2412" w:name="_Toc457483399"/>
      <w:bookmarkStart w:id="2413" w:name="_Toc457506317"/>
      <w:bookmarkStart w:id="2414" w:name="_Toc457512344"/>
      <w:bookmarkStart w:id="2415" w:name="_Toc457242202"/>
      <w:bookmarkStart w:id="2416" w:name="_Toc457242584"/>
      <w:bookmarkStart w:id="2417" w:name="_Toc457242967"/>
      <w:bookmarkStart w:id="2418" w:name="_Toc457243350"/>
      <w:bookmarkStart w:id="2419" w:name="_Toc457243726"/>
      <w:bookmarkStart w:id="2420" w:name="_Toc457244108"/>
      <w:bookmarkStart w:id="2421" w:name="_Toc457244485"/>
      <w:bookmarkStart w:id="2422" w:name="_Toc457244863"/>
      <w:bookmarkStart w:id="2423" w:name="_Toc457245236"/>
      <w:bookmarkStart w:id="2424" w:name="_Toc457245607"/>
      <w:bookmarkStart w:id="2425" w:name="_Toc457245976"/>
      <w:bookmarkStart w:id="2426" w:name="_Toc457246315"/>
      <w:bookmarkStart w:id="2427" w:name="_Toc457288770"/>
      <w:bookmarkStart w:id="2428" w:name="_Toc457290593"/>
      <w:bookmarkStart w:id="2429" w:name="_Toc457398966"/>
      <w:bookmarkStart w:id="2430" w:name="_Toc457458705"/>
      <w:bookmarkStart w:id="2431" w:name="_Toc457467995"/>
      <w:bookmarkStart w:id="2432" w:name="_Toc457483004"/>
      <w:bookmarkStart w:id="2433" w:name="_Toc457483400"/>
      <w:bookmarkStart w:id="2434" w:name="_Toc457506318"/>
      <w:bookmarkStart w:id="2435" w:name="_Toc457512345"/>
      <w:bookmarkStart w:id="2436" w:name="_Toc457242203"/>
      <w:bookmarkStart w:id="2437" w:name="_Toc457242585"/>
      <w:bookmarkStart w:id="2438" w:name="_Toc457242968"/>
      <w:bookmarkStart w:id="2439" w:name="_Toc457243351"/>
      <w:bookmarkStart w:id="2440" w:name="_Toc457243727"/>
      <w:bookmarkStart w:id="2441" w:name="_Toc457244109"/>
      <w:bookmarkStart w:id="2442" w:name="_Toc457244486"/>
      <w:bookmarkStart w:id="2443" w:name="_Toc457244864"/>
      <w:bookmarkStart w:id="2444" w:name="_Toc457245237"/>
      <w:bookmarkStart w:id="2445" w:name="_Toc457245608"/>
      <w:bookmarkStart w:id="2446" w:name="_Toc457245977"/>
      <w:bookmarkStart w:id="2447" w:name="_Toc457246316"/>
      <w:bookmarkStart w:id="2448" w:name="_Toc457288771"/>
      <w:bookmarkStart w:id="2449" w:name="_Toc457290594"/>
      <w:bookmarkStart w:id="2450" w:name="_Toc457398967"/>
      <w:bookmarkStart w:id="2451" w:name="_Toc457458706"/>
      <w:bookmarkStart w:id="2452" w:name="_Toc457467996"/>
      <w:bookmarkStart w:id="2453" w:name="_Toc457483005"/>
      <w:bookmarkStart w:id="2454" w:name="_Toc457483401"/>
      <w:bookmarkStart w:id="2455" w:name="_Toc457506319"/>
      <w:bookmarkStart w:id="2456" w:name="_Toc457512346"/>
      <w:bookmarkStart w:id="2457" w:name="_Toc457242204"/>
      <w:bookmarkStart w:id="2458" w:name="_Toc457242586"/>
      <w:bookmarkStart w:id="2459" w:name="_Toc457242969"/>
      <w:bookmarkStart w:id="2460" w:name="_Toc457243352"/>
      <w:bookmarkStart w:id="2461" w:name="_Toc457243728"/>
      <w:bookmarkStart w:id="2462" w:name="_Toc457244110"/>
      <w:bookmarkStart w:id="2463" w:name="_Toc457244487"/>
      <w:bookmarkStart w:id="2464" w:name="_Toc457244865"/>
      <w:bookmarkStart w:id="2465" w:name="_Toc457245238"/>
      <w:bookmarkStart w:id="2466" w:name="_Toc457245609"/>
      <w:bookmarkStart w:id="2467" w:name="_Toc457245978"/>
      <w:bookmarkStart w:id="2468" w:name="_Toc457246317"/>
      <w:bookmarkStart w:id="2469" w:name="_Toc457288772"/>
      <w:bookmarkStart w:id="2470" w:name="_Toc457290595"/>
      <w:bookmarkStart w:id="2471" w:name="_Toc457398968"/>
      <w:bookmarkStart w:id="2472" w:name="_Toc457458707"/>
      <w:bookmarkStart w:id="2473" w:name="_Toc457467997"/>
      <w:bookmarkStart w:id="2474" w:name="_Toc457483006"/>
      <w:bookmarkStart w:id="2475" w:name="_Toc457483402"/>
      <w:bookmarkStart w:id="2476" w:name="_Toc457506320"/>
      <w:bookmarkStart w:id="2477" w:name="_Toc457512347"/>
      <w:bookmarkStart w:id="2478" w:name="_Toc457242205"/>
      <w:bookmarkStart w:id="2479" w:name="_Toc457242587"/>
      <w:bookmarkStart w:id="2480" w:name="_Toc457242970"/>
      <w:bookmarkStart w:id="2481" w:name="_Toc457243353"/>
      <w:bookmarkStart w:id="2482" w:name="_Toc457243729"/>
      <w:bookmarkStart w:id="2483" w:name="_Toc457244111"/>
      <w:bookmarkStart w:id="2484" w:name="_Toc457244488"/>
      <w:bookmarkStart w:id="2485" w:name="_Toc457244866"/>
      <w:bookmarkStart w:id="2486" w:name="_Toc457245239"/>
      <w:bookmarkStart w:id="2487" w:name="_Toc457245610"/>
      <w:bookmarkStart w:id="2488" w:name="_Toc457245979"/>
      <w:bookmarkStart w:id="2489" w:name="_Toc457246318"/>
      <w:bookmarkStart w:id="2490" w:name="_Toc457288773"/>
      <w:bookmarkStart w:id="2491" w:name="_Toc457290596"/>
      <w:bookmarkStart w:id="2492" w:name="_Toc457398969"/>
      <w:bookmarkStart w:id="2493" w:name="_Toc457458708"/>
      <w:bookmarkStart w:id="2494" w:name="_Toc457467998"/>
      <w:bookmarkStart w:id="2495" w:name="_Toc457483007"/>
      <w:bookmarkStart w:id="2496" w:name="_Toc457483403"/>
      <w:bookmarkStart w:id="2497" w:name="_Toc457506321"/>
      <w:bookmarkStart w:id="2498" w:name="_Toc457512348"/>
      <w:bookmarkStart w:id="2499" w:name="_Toc457242206"/>
      <w:bookmarkStart w:id="2500" w:name="_Toc457242588"/>
      <w:bookmarkStart w:id="2501" w:name="_Toc457242971"/>
      <w:bookmarkStart w:id="2502" w:name="_Toc457243354"/>
      <w:bookmarkStart w:id="2503" w:name="_Toc457243730"/>
      <w:bookmarkStart w:id="2504" w:name="_Toc457244112"/>
      <w:bookmarkStart w:id="2505" w:name="_Toc457244489"/>
      <w:bookmarkStart w:id="2506" w:name="_Toc457244867"/>
      <w:bookmarkStart w:id="2507" w:name="_Toc457245240"/>
      <w:bookmarkStart w:id="2508" w:name="_Toc457245611"/>
      <w:bookmarkStart w:id="2509" w:name="_Toc457245980"/>
      <w:bookmarkStart w:id="2510" w:name="_Toc457246319"/>
      <w:bookmarkStart w:id="2511" w:name="_Toc457288774"/>
      <w:bookmarkStart w:id="2512" w:name="_Toc457290597"/>
      <w:bookmarkStart w:id="2513" w:name="_Toc457398970"/>
      <w:bookmarkStart w:id="2514" w:name="_Toc457458709"/>
      <w:bookmarkStart w:id="2515" w:name="_Toc457467999"/>
      <w:bookmarkStart w:id="2516" w:name="_Toc457483008"/>
      <w:bookmarkStart w:id="2517" w:name="_Toc457483404"/>
      <w:bookmarkStart w:id="2518" w:name="_Toc457506322"/>
      <w:bookmarkStart w:id="2519" w:name="_Toc457512349"/>
      <w:bookmarkStart w:id="2520" w:name="_Toc457242207"/>
      <w:bookmarkStart w:id="2521" w:name="_Toc457242589"/>
      <w:bookmarkStart w:id="2522" w:name="_Toc457242972"/>
      <w:bookmarkStart w:id="2523" w:name="_Toc457243355"/>
      <w:bookmarkStart w:id="2524" w:name="_Toc457243731"/>
      <w:bookmarkStart w:id="2525" w:name="_Toc457244113"/>
      <w:bookmarkStart w:id="2526" w:name="_Toc457244490"/>
      <w:bookmarkStart w:id="2527" w:name="_Toc457244868"/>
      <w:bookmarkStart w:id="2528" w:name="_Toc457245241"/>
      <w:bookmarkStart w:id="2529" w:name="_Toc457245612"/>
      <w:bookmarkStart w:id="2530" w:name="_Toc457245981"/>
      <w:bookmarkStart w:id="2531" w:name="_Toc457246320"/>
      <w:bookmarkStart w:id="2532" w:name="_Toc457288775"/>
      <w:bookmarkStart w:id="2533" w:name="_Toc457290598"/>
      <w:bookmarkStart w:id="2534" w:name="_Toc457398971"/>
      <w:bookmarkStart w:id="2535" w:name="_Toc457458710"/>
      <w:bookmarkStart w:id="2536" w:name="_Toc457468000"/>
      <w:bookmarkStart w:id="2537" w:name="_Toc457483009"/>
      <w:bookmarkStart w:id="2538" w:name="_Toc457483405"/>
      <w:bookmarkStart w:id="2539" w:name="_Toc457506323"/>
      <w:bookmarkStart w:id="2540" w:name="_Toc457512350"/>
      <w:bookmarkStart w:id="2541" w:name="_Toc457242208"/>
      <w:bookmarkStart w:id="2542" w:name="_Toc457242590"/>
      <w:bookmarkStart w:id="2543" w:name="_Toc457242973"/>
      <w:bookmarkStart w:id="2544" w:name="_Toc457243356"/>
      <w:bookmarkStart w:id="2545" w:name="_Toc457243732"/>
      <w:bookmarkStart w:id="2546" w:name="_Toc457244114"/>
      <w:bookmarkStart w:id="2547" w:name="_Toc457244491"/>
      <w:bookmarkStart w:id="2548" w:name="_Toc457244869"/>
      <w:bookmarkStart w:id="2549" w:name="_Toc457245242"/>
      <w:bookmarkStart w:id="2550" w:name="_Toc457245613"/>
      <w:bookmarkStart w:id="2551" w:name="_Toc457245982"/>
      <w:bookmarkStart w:id="2552" w:name="_Toc457246321"/>
      <w:bookmarkStart w:id="2553" w:name="_Toc457288776"/>
      <w:bookmarkStart w:id="2554" w:name="_Toc457290599"/>
      <w:bookmarkStart w:id="2555" w:name="_Toc457398972"/>
      <w:bookmarkStart w:id="2556" w:name="_Toc457458711"/>
      <w:bookmarkStart w:id="2557" w:name="_Toc457468001"/>
      <w:bookmarkStart w:id="2558" w:name="_Toc457483010"/>
      <w:bookmarkStart w:id="2559" w:name="_Toc457483406"/>
      <w:bookmarkStart w:id="2560" w:name="_Toc457506324"/>
      <w:bookmarkStart w:id="2561" w:name="_Toc457512351"/>
      <w:bookmarkStart w:id="2562" w:name="_Toc457242209"/>
      <w:bookmarkStart w:id="2563" w:name="_Toc457242591"/>
      <w:bookmarkStart w:id="2564" w:name="_Toc457242974"/>
      <w:bookmarkStart w:id="2565" w:name="_Toc457243357"/>
      <w:bookmarkStart w:id="2566" w:name="_Toc457243733"/>
      <w:bookmarkStart w:id="2567" w:name="_Toc457244115"/>
      <w:bookmarkStart w:id="2568" w:name="_Toc457244492"/>
      <w:bookmarkStart w:id="2569" w:name="_Toc457244870"/>
      <w:bookmarkStart w:id="2570" w:name="_Toc457245243"/>
      <w:bookmarkStart w:id="2571" w:name="_Toc457245614"/>
      <w:bookmarkStart w:id="2572" w:name="_Toc457245983"/>
      <w:bookmarkStart w:id="2573" w:name="_Toc457246322"/>
      <w:bookmarkStart w:id="2574" w:name="_Toc457288777"/>
      <w:bookmarkStart w:id="2575" w:name="_Toc457290600"/>
      <w:bookmarkStart w:id="2576" w:name="_Toc457398973"/>
      <w:bookmarkStart w:id="2577" w:name="_Toc457458712"/>
      <w:bookmarkStart w:id="2578" w:name="_Toc457468002"/>
      <w:bookmarkStart w:id="2579" w:name="_Toc457483011"/>
      <w:bookmarkStart w:id="2580" w:name="_Toc457483407"/>
      <w:bookmarkStart w:id="2581" w:name="_Toc457506325"/>
      <w:bookmarkStart w:id="2582" w:name="_Toc457512352"/>
      <w:bookmarkStart w:id="2583" w:name="_Toc457242210"/>
      <w:bookmarkStart w:id="2584" w:name="_Toc457242592"/>
      <w:bookmarkStart w:id="2585" w:name="_Toc457242975"/>
      <w:bookmarkStart w:id="2586" w:name="_Toc457243358"/>
      <w:bookmarkStart w:id="2587" w:name="_Toc457243734"/>
      <w:bookmarkStart w:id="2588" w:name="_Toc457244116"/>
      <w:bookmarkStart w:id="2589" w:name="_Toc457244493"/>
      <w:bookmarkStart w:id="2590" w:name="_Toc457244871"/>
      <w:bookmarkStart w:id="2591" w:name="_Toc457245244"/>
      <w:bookmarkStart w:id="2592" w:name="_Toc457245615"/>
      <w:bookmarkStart w:id="2593" w:name="_Toc457245984"/>
      <w:bookmarkStart w:id="2594" w:name="_Toc457246323"/>
      <w:bookmarkStart w:id="2595" w:name="_Toc457288778"/>
      <w:bookmarkStart w:id="2596" w:name="_Toc457290601"/>
      <w:bookmarkStart w:id="2597" w:name="_Toc457398974"/>
      <w:bookmarkStart w:id="2598" w:name="_Toc457458713"/>
      <w:bookmarkStart w:id="2599" w:name="_Toc457468003"/>
      <w:bookmarkStart w:id="2600" w:name="_Toc457483012"/>
      <w:bookmarkStart w:id="2601" w:name="_Toc457483408"/>
      <w:bookmarkStart w:id="2602" w:name="_Toc457506326"/>
      <w:bookmarkStart w:id="2603" w:name="_Toc457512353"/>
      <w:bookmarkStart w:id="2604" w:name="_Toc457242211"/>
      <w:bookmarkStart w:id="2605" w:name="_Toc457242593"/>
      <w:bookmarkStart w:id="2606" w:name="_Toc457242976"/>
      <w:bookmarkStart w:id="2607" w:name="_Toc457243359"/>
      <w:bookmarkStart w:id="2608" w:name="_Toc457243735"/>
      <w:bookmarkStart w:id="2609" w:name="_Toc457244117"/>
      <w:bookmarkStart w:id="2610" w:name="_Toc457244494"/>
      <w:bookmarkStart w:id="2611" w:name="_Toc457244872"/>
      <w:bookmarkStart w:id="2612" w:name="_Toc457245245"/>
      <w:bookmarkStart w:id="2613" w:name="_Toc457245616"/>
      <w:bookmarkStart w:id="2614" w:name="_Toc457245985"/>
      <w:bookmarkStart w:id="2615" w:name="_Toc457246324"/>
      <w:bookmarkStart w:id="2616" w:name="_Toc457288779"/>
      <w:bookmarkStart w:id="2617" w:name="_Toc457290602"/>
      <w:bookmarkStart w:id="2618" w:name="_Toc457398975"/>
      <w:bookmarkStart w:id="2619" w:name="_Toc457458714"/>
      <w:bookmarkStart w:id="2620" w:name="_Toc457468004"/>
      <w:bookmarkStart w:id="2621" w:name="_Toc457483013"/>
      <w:bookmarkStart w:id="2622" w:name="_Toc457483409"/>
      <w:bookmarkStart w:id="2623" w:name="_Toc457506327"/>
      <w:bookmarkStart w:id="2624" w:name="_Toc457512354"/>
      <w:bookmarkStart w:id="2625" w:name="_Toc457242212"/>
      <w:bookmarkStart w:id="2626" w:name="_Toc457242594"/>
      <w:bookmarkStart w:id="2627" w:name="_Toc457242977"/>
      <w:bookmarkStart w:id="2628" w:name="_Toc457243360"/>
      <w:bookmarkStart w:id="2629" w:name="_Toc457243736"/>
      <w:bookmarkStart w:id="2630" w:name="_Toc457244118"/>
      <w:bookmarkStart w:id="2631" w:name="_Toc457244495"/>
      <w:bookmarkStart w:id="2632" w:name="_Toc457244873"/>
      <w:bookmarkStart w:id="2633" w:name="_Toc457245246"/>
      <w:bookmarkStart w:id="2634" w:name="_Toc457245617"/>
      <w:bookmarkStart w:id="2635" w:name="_Toc457245986"/>
      <w:bookmarkStart w:id="2636" w:name="_Toc457246325"/>
      <w:bookmarkStart w:id="2637" w:name="_Toc457288780"/>
      <w:bookmarkStart w:id="2638" w:name="_Toc457290603"/>
      <w:bookmarkStart w:id="2639" w:name="_Toc457398976"/>
      <w:bookmarkStart w:id="2640" w:name="_Toc457458715"/>
      <w:bookmarkStart w:id="2641" w:name="_Toc457468005"/>
      <w:bookmarkStart w:id="2642" w:name="_Toc457483014"/>
      <w:bookmarkStart w:id="2643" w:name="_Toc457483410"/>
      <w:bookmarkStart w:id="2644" w:name="_Toc457506328"/>
      <w:bookmarkStart w:id="2645" w:name="_Toc457512355"/>
      <w:bookmarkStart w:id="2646" w:name="_Toc457242213"/>
      <w:bookmarkStart w:id="2647" w:name="_Toc457242595"/>
      <w:bookmarkStart w:id="2648" w:name="_Toc457242978"/>
      <w:bookmarkStart w:id="2649" w:name="_Toc457243361"/>
      <w:bookmarkStart w:id="2650" w:name="_Toc457243737"/>
      <w:bookmarkStart w:id="2651" w:name="_Toc457244119"/>
      <w:bookmarkStart w:id="2652" w:name="_Toc457244496"/>
      <w:bookmarkStart w:id="2653" w:name="_Toc457244874"/>
      <w:bookmarkStart w:id="2654" w:name="_Toc457245247"/>
      <w:bookmarkStart w:id="2655" w:name="_Toc457245618"/>
      <w:bookmarkStart w:id="2656" w:name="_Toc457245987"/>
      <w:bookmarkStart w:id="2657" w:name="_Toc457246326"/>
      <w:bookmarkStart w:id="2658" w:name="_Toc457288781"/>
      <w:bookmarkStart w:id="2659" w:name="_Toc457290604"/>
      <w:bookmarkStart w:id="2660" w:name="_Toc457398977"/>
      <w:bookmarkStart w:id="2661" w:name="_Toc457458716"/>
      <w:bookmarkStart w:id="2662" w:name="_Toc457468006"/>
      <w:bookmarkStart w:id="2663" w:name="_Toc457483015"/>
      <w:bookmarkStart w:id="2664" w:name="_Toc457483411"/>
      <w:bookmarkStart w:id="2665" w:name="_Toc457506329"/>
      <w:bookmarkStart w:id="2666" w:name="_Toc457512356"/>
      <w:bookmarkStart w:id="2667" w:name="_Toc457242214"/>
      <w:bookmarkStart w:id="2668" w:name="_Toc457242596"/>
      <w:bookmarkStart w:id="2669" w:name="_Toc457242979"/>
      <w:bookmarkStart w:id="2670" w:name="_Toc457243362"/>
      <w:bookmarkStart w:id="2671" w:name="_Toc457243738"/>
      <w:bookmarkStart w:id="2672" w:name="_Toc457244120"/>
      <w:bookmarkStart w:id="2673" w:name="_Toc457244497"/>
      <w:bookmarkStart w:id="2674" w:name="_Toc457244875"/>
      <w:bookmarkStart w:id="2675" w:name="_Toc457245248"/>
      <w:bookmarkStart w:id="2676" w:name="_Toc457245619"/>
      <w:bookmarkStart w:id="2677" w:name="_Toc457245988"/>
      <w:bookmarkStart w:id="2678" w:name="_Toc457246327"/>
      <w:bookmarkStart w:id="2679" w:name="_Toc457288782"/>
      <w:bookmarkStart w:id="2680" w:name="_Toc457290605"/>
      <w:bookmarkStart w:id="2681" w:name="_Toc457398978"/>
      <w:bookmarkStart w:id="2682" w:name="_Toc457458717"/>
      <w:bookmarkStart w:id="2683" w:name="_Toc457468007"/>
      <w:bookmarkStart w:id="2684" w:name="_Toc457483016"/>
      <w:bookmarkStart w:id="2685" w:name="_Toc457483412"/>
      <w:bookmarkStart w:id="2686" w:name="_Toc457506330"/>
      <w:bookmarkStart w:id="2687" w:name="_Toc457512357"/>
      <w:bookmarkStart w:id="2688" w:name="_Toc457242215"/>
      <w:bookmarkStart w:id="2689" w:name="_Toc457242597"/>
      <w:bookmarkStart w:id="2690" w:name="_Toc457242980"/>
      <w:bookmarkStart w:id="2691" w:name="_Toc457243363"/>
      <w:bookmarkStart w:id="2692" w:name="_Toc457243739"/>
      <w:bookmarkStart w:id="2693" w:name="_Toc457244121"/>
      <w:bookmarkStart w:id="2694" w:name="_Toc457244498"/>
      <w:bookmarkStart w:id="2695" w:name="_Toc457244876"/>
      <w:bookmarkStart w:id="2696" w:name="_Toc457245249"/>
      <w:bookmarkStart w:id="2697" w:name="_Toc457245620"/>
      <w:bookmarkStart w:id="2698" w:name="_Toc457245989"/>
      <w:bookmarkStart w:id="2699" w:name="_Toc457246328"/>
      <w:bookmarkStart w:id="2700" w:name="_Toc457288783"/>
      <w:bookmarkStart w:id="2701" w:name="_Toc457290606"/>
      <w:bookmarkStart w:id="2702" w:name="_Toc457398979"/>
      <w:bookmarkStart w:id="2703" w:name="_Toc457458718"/>
      <w:bookmarkStart w:id="2704" w:name="_Toc457468008"/>
      <w:bookmarkStart w:id="2705" w:name="_Toc457483017"/>
      <w:bookmarkStart w:id="2706" w:name="_Toc457483413"/>
      <w:bookmarkStart w:id="2707" w:name="_Toc457506331"/>
      <w:bookmarkStart w:id="2708" w:name="_Toc457512358"/>
      <w:bookmarkStart w:id="2709" w:name="_Toc457242216"/>
      <w:bookmarkStart w:id="2710" w:name="_Toc457242598"/>
      <w:bookmarkStart w:id="2711" w:name="_Toc457242981"/>
      <w:bookmarkStart w:id="2712" w:name="_Toc457243364"/>
      <w:bookmarkStart w:id="2713" w:name="_Toc457243740"/>
      <w:bookmarkStart w:id="2714" w:name="_Toc457244122"/>
      <w:bookmarkStart w:id="2715" w:name="_Toc457244499"/>
      <w:bookmarkStart w:id="2716" w:name="_Toc457244877"/>
      <w:bookmarkStart w:id="2717" w:name="_Toc457245250"/>
      <w:bookmarkStart w:id="2718" w:name="_Toc457245621"/>
      <w:bookmarkStart w:id="2719" w:name="_Toc457245990"/>
      <w:bookmarkStart w:id="2720" w:name="_Toc457246329"/>
      <w:bookmarkStart w:id="2721" w:name="_Toc457288784"/>
      <w:bookmarkStart w:id="2722" w:name="_Toc457290607"/>
      <w:bookmarkStart w:id="2723" w:name="_Toc457398980"/>
      <w:bookmarkStart w:id="2724" w:name="_Toc457458719"/>
      <w:bookmarkStart w:id="2725" w:name="_Toc457468009"/>
      <w:bookmarkStart w:id="2726" w:name="_Toc457483018"/>
      <w:bookmarkStart w:id="2727" w:name="_Toc457483414"/>
      <w:bookmarkStart w:id="2728" w:name="_Toc457506332"/>
      <w:bookmarkStart w:id="2729" w:name="_Toc457512359"/>
      <w:bookmarkStart w:id="2730" w:name="_Toc457242217"/>
      <w:bookmarkStart w:id="2731" w:name="_Toc457242599"/>
      <w:bookmarkStart w:id="2732" w:name="_Toc457242982"/>
      <w:bookmarkStart w:id="2733" w:name="_Toc457243365"/>
      <w:bookmarkStart w:id="2734" w:name="_Toc457243741"/>
      <w:bookmarkStart w:id="2735" w:name="_Toc457244123"/>
      <w:bookmarkStart w:id="2736" w:name="_Toc457244500"/>
      <w:bookmarkStart w:id="2737" w:name="_Toc457244878"/>
      <w:bookmarkStart w:id="2738" w:name="_Toc457245251"/>
      <w:bookmarkStart w:id="2739" w:name="_Toc457245622"/>
      <w:bookmarkStart w:id="2740" w:name="_Toc457245991"/>
      <w:bookmarkStart w:id="2741" w:name="_Toc457246330"/>
      <w:bookmarkStart w:id="2742" w:name="_Toc457288785"/>
      <w:bookmarkStart w:id="2743" w:name="_Toc457290608"/>
      <w:bookmarkStart w:id="2744" w:name="_Toc457398981"/>
      <w:bookmarkStart w:id="2745" w:name="_Toc457458720"/>
      <w:bookmarkStart w:id="2746" w:name="_Toc457468010"/>
      <w:bookmarkStart w:id="2747" w:name="_Toc457483019"/>
      <w:bookmarkStart w:id="2748" w:name="_Toc457483415"/>
      <w:bookmarkStart w:id="2749" w:name="_Toc457506333"/>
      <w:bookmarkStart w:id="2750" w:name="_Toc457512360"/>
      <w:bookmarkStart w:id="2751" w:name="_Toc457242218"/>
      <w:bookmarkStart w:id="2752" w:name="_Toc457242600"/>
      <w:bookmarkStart w:id="2753" w:name="_Toc457242983"/>
      <w:bookmarkStart w:id="2754" w:name="_Toc457243366"/>
      <w:bookmarkStart w:id="2755" w:name="_Toc457243742"/>
      <w:bookmarkStart w:id="2756" w:name="_Toc457244124"/>
      <w:bookmarkStart w:id="2757" w:name="_Toc457244501"/>
      <w:bookmarkStart w:id="2758" w:name="_Toc457244879"/>
      <w:bookmarkStart w:id="2759" w:name="_Toc457245252"/>
      <w:bookmarkStart w:id="2760" w:name="_Toc457245623"/>
      <w:bookmarkStart w:id="2761" w:name="_Toc457245992"/>
      <w:bookmarkStart w:id="2762" w:name="_Toc457246331"/>
      <w:bookmarkStart w:id="2763" w:name="_Toc457288786"/>
      <w:bookmarkStart w:id="2764" w:name="_Toc457290609"/>
      <w:bookmarkStart w:id="2765" w:name="_Toc457398982"/>
      <w:bookmarkStart w:id="2766" w:name="_Toc457458721"/>
      <w:bookmarkStart w:id="2767" w:name="_Toc457468011"/>
      <w:bookmarkStart w:id="2768" w:name="_Toc457483020"/>
      <w:bookmarkStart w:id="2769" w:name="_Toc457483416"/>
      <w:bookmarkStart w:id="2770" w:name="_Toc457506334"/>
      <w:bookmarkStart w:id="2771" w:name="_Toc457512361"/>
      <w:bookmarkStart w:id="2772" w:name="_Toc457242219"/>
      <w:bookmarkStart w:id="2773" w:name="_Toc457242601"/>
      <w:bookmarkStart w:id="2774" w:name="_Toc457242984"/>
      <w:bookmarkStart w:id="2775" w:name="_Toc457243367"/>
      <w:bookmarkStart w:id="2776" w:name="_Toc457243743"/>
      <w:bookmarkStart w:id="2777" w:name="_Toc457244125"/>
      <w:bookmarkStart w:id="2778" w:name="_Toc457244502"/>
      <w:bookmarkStart w:id="2779" w:name="_Toc457244880"/>
      <w:bookmarkStart w:id="2780" w:name="_Toc457245253"/>
      <w:bookmarkStart w:id="2781" w:name="_Toc457245624"/>
      <w:bookmarkStart w:id="2782" w:name="_Toc457245993"/>
      <w:bookmarkStart w:id="2783" w:name="_Toc457246332"/>
      <w:bookmarkStart w:id="2784" w:name="_Toc457288787"/>
      <w:bookmarkStart w:id="2785" w:name="_Toc457290610"/>
      <w:bookmarkStart w:id="2786" w:name="_Toc457398983"/>
      <w:bookmarkStart w:id="2787" w:name="_Toc457458722"/>
      <w:bookmarkStart w:id="2788" w:name="_Toc457468012"/>
      <w:bookmarkStart w:id="2789" w:name="_Toc457483021"/>
      <w:bookmarkStart w:id="2790" w:name="_Toc457483417"/>
      <w:bookmarkStart w:id="2791" w:name="_Toc457506335"/>
      <w:bookmarkStart w:id="2792" w:name="_Toc457512362"/>
      <w:bookmarkStart w:id="2793" w:name="_Toc457242256"/>
      <w:bookmarkStart w:id="2794" w:name="_Toc457242638"/>
      <w:bookmarkStart w:id="2795" w:name="_Toc457243021"/>
      <w:bookmarkStart w:id="2796" w:name="_Toc457243404"/>
      <w:bookmarkStart w:id="2797" w:name="_Toc457243780"/>
      <w:bookmarkStart w:id="2798" w:name="_Toc457244162"/>
      <w:bookmarkStart w:id="2799" w:name="_Toc457244539"/>
      <w:bookmarkStart w:id="2800" w:name="_Toc457244917"/>
      <w:bookmarkStart w:id="2801" w:name="_Toc457245290"/>
      <w:bookmarkStart w:id="2802" w:name="_Toc457245661"/>
      <w:bookmarkStart w:id="2803" w:name="_Toc457246030"/>
      <w:bookmarkStart w:id="2804" w:name="_Toc457246369"/>
      <w:bookmarkStart w:id="2805" w:name="_Toc457288824"/>
      <w:bookmarkStart w:id="2806" w:name="_Toc457290647"/>
      <w:bookmarkStart w:id="2807" w:name="_Toc457399020"/>
      <w:bookmarkStart w:id="2808" w:name="_Toc457458759"/>
      <w:bookmarkStart w:id="2809" w:name="_Toc457468049"/>
      <w:bookmarkStart w:id="2810" w:name="_Toc457483058"/>
      <w:bookmarkStart w:id="2811" w:name="_Toc457483454"/>
      <w:bookmarkStart w:id="2812" w:name="_Toc457506372"/>
      <w:bookmarkStart w:id="2813" w:name="_Toc457512399"/>
      <w:bookmarkStart w:id="2814" w:name="_Toc457242257"/>
      <w:bookmarkStart w:id="2815" w:name="_Toc457242639"/>
      <w:bookmarkStart w:id="2816" w:name="_Toc457243022"/>
      <w:bookmarkStart w:id="2817" w:name="_Toc457243405"/>
      <w:bookmarkStart w:id="2818" w:name="_Toc457243781"/>
      <w:bookmarkStart w:id="2819" w:name="_Toc457244163"/>
      <w:bookmarkStart w:id="2820" w:name="_Toc457244540"/>
      <w:bookmarkStart w:id="2821" w:name="_Toc457244918"/>
      <w:bookmarkStart w:id="2822" w:name="_Toc457245291"/>
      <w:bookmarkStart w:id="2823" w:name="_Toc457245662"/>
      <w:bookmarkStart w:id="2824" w:name="_Toc457246031"/>
      <w:bookmarkStart w:id="2825" w:name="_Toc457246370"/>
      <w:bookmarkStart w:id="2826" w:name="_Toc457288825"/>
      <w:bookmarkStart w:id="2827" w:name="_Toc457290648"/>
      <w:bookmarkStart w:id="2828" w:name="_Toc457399021"/>
      <w:bookmarkStart w:id="2829" w:name="_Toc457458760"/>
      <w:bookmarkStart w:id="2830" w:name="_Toc457468050"/>
      <w:bookmarkStart w:id="2831" w:name="_Toc457483059"/>
      <w:bookmarkStart w:id="2832" w:name="_Toc457483455"/>
      <w:bookmarkStart w:id="2833" w:name="_Toc457506373"/>
      <w:bookmarkStart w:id="2834" w:name="_Toc457512400"/>
      <w:bookmarkStart w:id="2835" w:name="_Toc457242258"/>
      <w:bookmarkStart w:id="2836" w:name="_Toc457242640"/>
      <w:bookmarkStart w:id="2837" w:name="_Toc457243023"/>
      <w:bookmarkStart w:id="2838" w:name="_Toc457243406"/>
      <w:bookmarkStart w:id="2839" w:name="_Toc457243782"/>
      <w:bookmarkStart w:id="2840" w:name="_Toc457244164"/>
      <w:bookmarkStart w:id="2841" w:name="_Toc457244541"/>
      <w:bookmarkStart w:id="2842" w:name="_Toc457244919"/>
      <w:bookmarkStart w:id="2843" w:name="_Toc457245292"/>
      <w:bookmarkStart w:id="2844" w:name="_Toc457245663"/>
      <w:bookmarkStart w:id="2845" w:name="_Toc457246032"/>
      <w:bookmarkStart w:id="2846" w:name="_Toc457246371"/>
      <w:bookmarkStart w:id="2847" w:name="_Toc457288826"/>
      <w:bookmarkStart w:id="2848" w:name="_Toc457290649"/>
      <w:bookmarkStart w:id="2849" w:name="_Toc457399022"/>
      <w:bookmarkStart w:id="2850" w:name="_Toc457458761"/>
      <w:bookmarkStart w:id="2851" w:name="_Toc457468051"/>
      <w:bookmarkStart w:id="2852" w:name="_Toc457483060"/>
      <w:bookmarkStart w:id="2853" w:name="_Toc457483456"/>
      <w:bookmarkStart w:id="2854" w:name="_Toc457506374"/>
      <w:bookmarkStart w:id="2855" w:name="_Toc457512401"/>
      <w:bookmarkStart w:id="2856" w:name="_Toc457242259"/>
      <w:bookmarkStart w:id="2857" w:name="_Toc457242641"/>
      <w:bookmarkStart w:id="2858" w:name="_Toc457243024"/>
      <w:bookmarkStart w:id="2859" w:name="_Toc457243407"/>
      <w:bookmarkStart w:id="2860" w:name="_Toc457243783"/>
      <w:bookmarkStart w:id="2861" w:name="_Toc457244165"/>
      <w:bookmarkStart w:id="2862" w:name="_Toc457244542"/>
      <w:bookmarkStart w:id="2863" w:name="_Toc457244920"/>
      <w:bookmarkStart w:id="2864" w:name="_Toc457245293"/>
      <w:bookmarkStart w:id="2865" w:name="_Toc457245664"/>
      <w:bookmarkStart w:id="2866" w:name="_Toc457246033"/>
      <w:bookmarkStart w:id="2867" w:name="_Toc457246372"/>
      <w:bookmarkStart w:id="2868" w:name="_Toc457288827"/>
      <w:bookmarkStart w:id="2869" w:name="_Toc457290650"/>
      <w:bookmarkStart w:id="2870" w:name="_Toc457399023"/>
      <w:bookmarkStart w:id="2871" w:name="_Toc457458762"/>
      <w:bookmarkStart w:id="2872" w:name="_Toc457468052"/>
      <w:bookmarkStart w:id="2873" w:name="_Toc457483061"/>
      <w:bookmarkStart w:id="2874" w:name="_Toc457483457"/>
      <w:bookmarkStart w:id="2875" w:name="_Toc457506375"/>
      <w:bookmarkStart w:id="2876" w:name="_Toc457512402"/>
      <w:bookmarkStart w:id="2877" w:name="_Toc457242260"/>
      <w:bookmarkStart w:id="2878" w:name="_Toc457242642"/>
      <w:bookmarkStart w:id="2879" w:name="_Toc457243025"/>
      <w:bookmarkStart w:id="2880" w:name="_Toc457243408"/>
      <w:bookmarkStart w:id="2881" w:name="_Toc457243784"/>
      <w:bookmarkStart w:id="2882" w:name="_Toc457244166"/>
      <w:bookmarkStart w:id="2883" w:name="_Toc457244543"/>
      <w:bookmarkStart w:id="2884" w:name="_Toc457244921"/>
      <w:bookmarkStart w:id="2885" w:name="_Toc457245294"/>
      <w:bookmarkStart w:id="2886" w:name="_Toc457245665"/>
      <w:bookmarkStart w:id="2887" w:name="_Toc457246034"/>
      <w:bookmarkStart w:id="2888" w:name="_Toc457246373"/>
      <w:bookmarkStart w:id="2889" w:name="_Toc457288828"/>
      <w:bookmarkStart w:id="2890" w:name="_Toc457290651"/>
      <w:bookmarkStart w:id="2891" w:name="_Toc457399024"/>
      <w:bookmarkStart w:id="2892" w:name="_Toc457458763"/>
      <w:bookmarkStart w:id="2893" w:name="_Toc457468053"/>
      <w:bookmarkStart w:id="2894" w:name="_Toc457483062"/>
      <w:bookmarkStart w:id="2895" w:name="_Toc457483458"/>
      <w:bookmarkStart w:id="2896" w:name="_Toc457506376"/>
      <w:bookmarkStart w:id="2897" w:name="_Toc457512403"/>
      <w:bookmarkStart w:id="2898" w:name="_Toc457242261"/>
      <w:bookmarkStart w:id="2899" w:name="_Toc457242643"/>
      <w:bookmarkStart w:id="2900" w:name="_Toc457243026"/>
      <w:bookmarkStart w:id="2901" w:name="_Toc457243409"/>
      <w:bookmarkStart w:id="2902" w:name="_Toc457243785"/>
      <w:bookmarkStart w:id="2903" w:name="_Toc457244167"/>
      <w:bookmarkStart w:id="2904" w:name="_Toc457244544"/>
      <w:bookmarkStart w:id="2905" w:name="_Toc457244922"/>
      <w:bookmarkStart w:id="2906" w:name="_Toc457245295"/>
      <w:bookmarkStart w:id="2907" w:name="_Toc457245666"/>
      <w:bookmarkStart w:id="2908" w:name="_Toc457246035"/>
      <w:bookmarkStart w:id="2909" w:name="_Toc457246374"/>
      <w:bookmarkStart w:id="2910" w:name="_Toc457288829"/>
      <w:bookmarkStart w:id="2911" w:name="_Toc457290652"/>
      <w:bookmarkStart w:id="2912" w:name="_Toc457399025"/>
      <w:bookmarkStart w:id="2913" w:name="_Toc457458764"/>
      <w:bookmarkStart w:id="2914" w:name="_Toc457468054"/>
      <w:bookmarkStart w:id="2915" w:name="_Toc457483063"/>
      <w:bookmarkStart w:id="2916" w:name="_Toc457483459"/>
      <w:bookmarkStart w:id="2917" w:name="_Toc457506377"/>
      <w:bookmarkStart w:id="2918" w:name="_Toc457512404"/>
      <w:bookmarkStart w:id="2919" w:name="_Toc457242262"/>
      <w:bookmarkStart w:id="2920" w:name="_Toc457242644"/>
      <w:bookmarkStart w:id="2921" w:name="_Toc457243027"/>
      <w:bookmarkStart w:id="2922" w:name="_Toc457243410"/>
      <w:bookmarkStart w:id="2923" w:name="_Toc457243786"/>
      <w:bookmarkStart w:id="2924" w:name="_Toc457244168"/>
      <w:bookmarkStart w:id="2925" w:name="_Toc457244545"/>
      <w:bookmarkStart w:id="2926" w:name="_Toc457244923"/>
      <w:bookmarkStart w:id="2927" w:name="_Toc457245296"/>
      <w:bookmarkStart w:id="2928" w:name="_Toc457245667"/>
      <w:bookmarkStart w:id="2929" w:name="_Toc457246036"/>
      <w:bookmarkStart w:id="2930" w:name="_Toc457246375"/>
      <w:bookmarkStart w:id="2931" w:name="_Toc457288830"/>
      <w:bookmarkStart w:id="2932" w:name="_Toc457290653"/>
      <w:bookmarkStart w:id="2933" w:name="_Toc457399026"/>
      <w:bookmarkStart w:id="2934" w:name="_Toc457458765"/>
      <w:bookmarkStart w:id="2935" w:name="_Toc457468055"/>
      <w:bookmarkStart w:id="2936" w:name="_Toc457483064"/>
      <w:bookmarkStart w:id="2937" w:name="_Toc457483460"/>
      <w:bookmarkStart w:id="2938" w:name="_Toc457506378"/>
      <w:bookmarkStart w:id="2939" w:name="_Toc457512405"/>
      <w:bookmarkStart w:id="2940" w:name="_Toc457242263"/>
      <w:bookmarkStart w:id="2941" w:name="_Toc457242645"/>
      <w:bookmarkStart w:id="2942" w:name="_Toc457243028"/>
      <w:bookmarkStart w:id="2943" w:name="_Toc457243411"/>
      <w:bookmarkStart w:id="2944" w:name="_Toc457243787"/>
      <w:bookmarkStart w:id="2945" w:name="_Toc457244169"/>
      <w:bookmarkStart w:id="2946" w:name="_Toc457244546"/>
      <w:bookmarkStart w:id="2947" w:name="_Toc457244924"/>
      <w:bookmarkStart w:id="2948" w:name="_Toc457245297"/>
      <w:bookmarkStart w:id="2949" w:name="_Toc457245668"/>
      <w:bookmarkStart w:id="2950" w:name="_Toc457246037"/>
      <w:bookmarkStart w:id="2951" w:name="_Toc457246376"/>
      <w:bookmarkStart w:id="2952" w:name="_Toc457288831"/>
      <w:bookmarkStart w:id="2953" w:name="_Toc457290654"/>
      <w:bookmarkStart w:id="2954" w:name="_Toc457399027"/>
      <w:bookmarkStart w:id="2955" w:name="_Toc457458766"/>
      <w:bookmarkStart w:id="2956" w:name="_Toc457468056"/>
      <w:bookmarkStart w:id="2957" w:name="_Toc457483065"/>
      <w:bookmarkStart w:id="2958" w:name="_Toc457483461"/>
      <w:bookmarkStart w:id="2959" w:name="_Toc457506379"/>
      <w:bookmarkStart w:id="2960" w:name="_Toc457512406"/>
      <w:bookmarkStart w:id="2961" w:name="_Toc457242264"/>
      <w:bookmarkStart w:id="2962" w:name="_Toc457242646"/>
      <w:bookmarkStart w:id="2963" w:name="_Toc457243029"/>
      <w:bookmarkStart w:id="2964" w:name="_Toc457243412"/>
      <w:bookmarkStart w:id="2965" w:name="_Toc457243788"/>
      <w:bookmarkStart w:id="2966" w:name="_Toc457244170"/>
      <w:bookmarkStart w:id="2967" w:name="_Toc457244547"/>
      <w:bookmarkStart w:id="2968" w:name="_Toc457244925"/>
      <w:bookmarkStart w:id="2969" w:name="_Toc457245298"/>
      <w:bookmarkStart w:id="2970" w:name="_Toc457245669"/>
      <w:bookmarkStart w:id="2971" w:name="_Toc457246038"/>
      <w:bookmarkStart w:id="2972" w:name="_Toc457246377"/>
      <w:bookmarkStart w:id="2973" w:name="_Toc457288832"/>
      <w:bookmarkStart w:id="2974" w:name="_Toc457290655"/>
      <w:bookmarkStart w:id="2975" w:name="_Toc457399028"/>
      <w:bookmarkStart w:id="2976" w:name="_Toc457458767"/>
      <w:bookmarkStart w:id="2977" w:name="_Toc457468057"/>
      <w:bookmarkStart w:id="2978" w:name="_Toc457483066"/>
      <w:bookmarkStart w:id="2979" w:name="_Toc457483462"/>
      <w:bookmarkStart w:id="2980" w:name="_Toc457506380"/>
      <w:bookmarkStart w:id="2981" w:name="_Toc457512407"/>
      <w:bookmarkStart w:id="2982" w:name="_Toc457242265"/>
      <w:bookmarkStart w:id="2983" w:name="_Toc457242647"/>
      <w:bookmarkStart w:id="2984" w:name="_Toc457243030"/>
      <w:bookmarkStart w:id="2985" w:name="_Toc457243413"/>
      <w:bookmarkStart w:id="2986" w:name="_Toc457243789"/>
      <w:bookmarkStart w:id="2987" w:name="_Toc457244171"/>
      <w:bookmarkStart w:id="2988" w:name="_Toc457244548"/>
      <w:bookmarkStart w:id="2989" w:name="_Toc457244926"/>
      <w:bookmarkStart w:id="2990" w:name="_Toc457245299"/>
      <w:bookmarkStart w:id="2991" w:name="_Toc457245670"/>
      <w:bookmarkStart w:id="2992" w:name="_Toc457246039"/>
      <w:bookmarkStart w:id="2993" w:name="_Toc457246378"/>
      <w:bookmarkStart w:id="2994" w:name="_Toc457288833"/>
      <w:bookmarkStart w:id="2995" w:name="_Toc457290656"/>
      <w:bookmarkStart w:id="2996" w:name="_Toc457399029"/>
      <w:bookmarkStart w:id="2997" w:name="_Toc457458768"/>
      <w:bookmarkStart w:id="2998" w:name="_Toc457468058"/>
      <w:bookmarkStart w:id="2999" w:name="_Toc457483067"/>
      <w:bookmarkStart w:id="3000" w:name="_Toc457483463"/>
      <w:bookmarkStart w:id="3001" w:name="_Toc457506381"/>
      <w:bookmarkStart w:id="3002" w:name="_Toc457512408"/>
      <w:bookmarkStart w:id="3003" w:name="_Toc457242266"/>
      <w:bookmarkStart w:id="3004" w:name="_Toc457242648"/>
      <w:bookmarkStart w:id="3005" w:name="_Toc457243031"/>
      <w:bookmarkStart w:id="3006" w:name="_Toc457243414"/>
      <w:bookmarkStart w:id="3007" w:name="_Toc457243790"/>
      <w:bookmarkStart w:id="3008" w:name="_Toc457244172"/>
      <w:bookmarkStart w:id="3009" w:name="_Toc457244549"/>
      <w:bookmarkStart w:id="3010" w:name="_Toc457244927"/>
      <w:bookmarkStart w:id="3011" w:name="_Toc457245300"/>
      <w:bookmarkStart w:id="3012" w:name="_Toc457245671"/>
      <w:bookmarkStart w:id="3013" w:name="_Toc457246040"/>
      <w:bookmarkStart w:id="3014" w:name="_Toc457246379"/>
      <w:bookmarkStart w:id="3015" w:name="_Toc457288834"/>
      <w:bookmarkStart w:id="3016" w:name="_Toc457290657"/>
      <w:bookmarkStart w:id="3017" w:name="_Toc457399030"/>
      <w:bookmarkStart w:id="3018" w:name="_Toc457458769"/>
      <w:bookmarkStart w:id="3019" w:name="_Toc457468059"/>
      <w:bookmarkStart w:id="3020" w:name="_Toc457483068"/>
      <w:bookmarkStart w:id="3021" w:name="_Toc457483464"/>
      <w:bookmarkStart w:id="3022" w:name="_Toc457506382"/>
      <w:bookmarkStart w:id="3023" w:name="_Toc457512409"/>
      <w:bookmarkStart w:id="3024" w:name="_Toc457242267"/>
      <w:bookmarkStart w:id="3025" w:name="_Toc457242649"/>
      <w:bookmarkStart w:id="3026" w:name="_Toc457243032"/>
      <w:bookmarkStart w:id="3027" w:name="_Toc457243415"/>
      <w:bookmarkStart w:id="3028" w:name="_Toc457243791"/>
      <w:bookmarkStart w:id="3029" w:name="_Toc457244173"/>
      <w:bookmarkStart w:id="3030" w:name="_Toc457244550"/>
      <w:bookmarkStart w:id="3031" w:name="_Toc457244928"/>
      <w:bookmarkStart w:id="3032" w:name="_Toc457245301"/>
      <w:bookmarkStart w:id="3033" w:name="_Toc457245672"/>
      <w:bookmarkStart w:id="3034" w:name="_Toc457246041"/>
      <w:bookmarkStart w:id="3035" w:name="_Toc457246380"/>
      <w:bookmarkStart w:id="3036" w:name="_Toc457288835"/>
      <w:bookmarkStart w:id="3037" w:name="_Toc457290658"/>
      <w:bookmarkStart w:id="3038" w:name="_Toc457399031"/>
      <w:bookmarkStart w:id="3039" w:name="_Toc457458770"/>
      <w:bookmarkStart w:id="3040" w:name="_Toc457468060"/>
      <w:bookmarkStart w:id="3041" w:name="_Toc457483069"/>
      <w:bookmarkStart w:id="3042" w:name="_Toc457483465"/>
      <w:bookmarkStart w:id="3043" w:name="_Toc457506383"/>
      <w:bookmarkStart w:id="3044" w:name="_Toc457512410"/>
      <w:bookmarkStart w:id="3045" w:name="_Toc457242268"/>
      <w:bookmarkStart w:id="3046" w:name="_Toc457242650"/>
      <w:bookmarkStart w:id="3047" w:name="_Toc457243033"/>
      <w:bookmarkStart w:id="3048" w:name="_Toc457243416"/>
      <w:bookmarkStart w:id="3049" w:name="_Toc457243792"/>
      <w:bookmarkStart w:id="3050" w:name="_Toc457244174"/>
      <w:bookmarkStart w:id="3051" w:name="_Toc457244551"/>
      <w:bookmarkStart w:id="3052" w:name="_Toc457244929"/>
      <w:bookmarkStart w:id="3053" w:name="_Toc457245302"/>
      <w:bookmarkStart w:id="3054" w:name="_Toc457245673"/>
      <w:bookmarkStart w:id="3055" w:name="_Toc457246042"/>
      <w:bookmarkStart w:id="3056" w:name="_Toc457246381"/>
      <w:bookmarkStart w:id="3057" w:name="_Toc457288836"/>
      <w:bookmarkStart w:id="3058" w:name="_Toc457290659"/>
      <w:bookmarkStart w:id="3059" w:name="_Toc457399032"/>
      <w:bookmarkStart w:id="3060" w:name="_Toc457458771"/>
      <w:bookmarkStart w:id="3061" w:name="_Toc457468061"/>
      <w:bookmarkStart w:id="3062" w:name="_Toc457483070"/>
      <w:bookmarkStart w:id="3063" w:name="_Toc457483466"/>
      <w:bookmarkStart w:id="3064" w:name="_Toc457506384"/>
      <w:bookmarkStart w:id="3065" w:name="_Toc457512411"/>
      <w:bookmarkStart w:id="3066" w:name="_Toc457242269"/>
      <w:bookmarkStart w:id="3067" w:name="_Toc457242651"/>
      <w:bookmarkStart w:id="3068" w:name="_Toc457243034"/>
      <w:bookmarkStart w:id="3069" w:name="_Toc457243417"/>
      <w:bookmarkStart w:id="3070" w:name="_Toc457243793"/>
      <w:bookmarkStart w:id="3071" w:name="_Toc457244175"/>
      <w:bookmarkStart w:id="3072" w:name="_Toc457244552"/>
      <w:bookmarkStart w:id="3073" w:name="_Toc457244930"/>
      <w:bookmarkStart w:id="3074" w:name="_Toc457245303"/>
      <w:bookmarkStart w:id="3075" w:name="_Toc457245674"/>
      <w:bookmarkStart w:id="3076" w:name="_Toc457246043"/>
      <w:bookmarkStart w:id="3077" w:name="_Toc457246382"/>
      <w:bookmarkStart w:id="3078" w:name="_Toc457288837"/>
      <w:bookmarkStart w:id="3079" w:name="_Toc457290660"/>
      <w:bookmarkStart w:id="3080" w:name="_Toc457399033"/>
      <w:bookmarkStart w:id="3081" w:name="_Toc457458772"/>
      <w:bookmarkStart w:id="3082" w:name="_Toc457468062"/>
      <w:bookmarkStart w:id="3083" w:name="_Toc457483071"/>
      <w:bookmarkStart w:id="3084" w:name="_Toc457483467"/>
      <w:bookmarkStart w:id="3085" w:name="_Toc457506385"/>
      <w:bookmarkStart w:id="3086" w:name="_Toc457512412"/>
      <w:bookmarkStart w:id="3087" w:name="_Toc457242270"/>
      <w:bookmarkStart w:id="3088" w:name="_Toc457242652"/>
      <w:bookmarkStart w:id="3089" w:name="_Toc457243035"/>
      <w:bookmarkStart w:id="3090" w:name="_Toc457243418"/>
      <w:bookmarkStart w:id="3091" w:name="_Toc457243794"/>
      <w:bookmarkStart w:id="3092" w:name="_Toc457244176"/>
      <w:bookmarkStart w:id="3093" w:name="_Toc457244553"/>
      <w:bookmarkStart w:id="3094" w:name="_Toc457244931"/>
      <w:bookmarkStart w:id="3095" w:name="_Toc457245304"/>
      <w:bookmarkStart w:id="3096" w:name="_Toc457245675"/>
      <w:bookmarkStart w:id="3097" w:name="_Toc457246044"/>
      <w:bookmarkStart w:id="3098" w:name="_Toc457246383"/>
      <w:bookmarkStart w:id="3099" w:name="_Toc457288838"/>
      <w:bookmarkStart w:id="3100" w:name="_Toc457290661"/>
      <w:bookmarkStart w:id="3101" w:name="_Toc457399034"/>
      <w:bookmarkStart w:id="3102" w:name="_Toc457458773"/>
      <w:bookmarkStart w:id="3103" w:name="_Toc457468063"/>
      <w:bookmarkStart w:id="3104" w:name="_Toc457483072"/>
      <w:bookmarkStart w:id="3105" w:name="_Toc457483468"/>
      <w:bookmarkStart w:id="3106" w:name="_Toc457506386"/>
      <w:bookmarkStart w:id="3107" w:name="_Toc457512413"/>
      <w:bookmarkStart w:id="3108" w:name="_Toc457242271"/>
      <w:bookmarkStart w:id="3109" w:name="_Toc457242653"/>
      <w:bookmarkStart w:id="3110" w:name="_Toc457243036"/>
      <w:bookmarkStart w:id="3111" w:name="_Toc457243419"/>
      <w:bookmarkStart w:id="3112" w:name="_Toc457243795"/>
      <w:bookmarkStart w:id="3113" w:name="_Toc457244177"/>
      <w:bookmarkStart w:id="3114" w:name="_Toc457244554"/>
      <w:bookmarkStart w:id="3115" w:name="_Toc457244932"/>
      <w:bookmarkStart w:id="3116" w:name="_Toc457245305"/>
      <w:bookmarkStart w:id="3117" w:name="_Toc457245676"/>
      <w:bookmarkStart w:id="3118" w:name="_Toc457246045"/>
      <w:bookmarkStart w:id="3119" w:name="_Toc457246384"/>
      <w:bookmarkStart w:id="3120" w:name="_Toc457288839"/>
      <w:bookmarkStart w:id="3121" w:name="_Toc457290662"/>
      <w:bookmarkStart w:id="3122" w:name="_Toc457399035"/>
      <w:bookmarkStart w:id="3123" w:name="_Toc457458774"/>
      <w:bookmarkStart w:id="3124" w:name="_Toc457468064"/>
      <w:bookmarkStart w:id="3125" w:name="_Toc457483073"/>
      <w:bookmarkStart w:id="3126" w:name="_Toc457483469"/>
      <w:bookmarkStart w:id="3127" w:name="_Toc457506387"/>
      <w:bookmarkStart w:id="3128" w:name="_Toc457512414"/>
      <w:bookmarkStart w:id="3129" w:name="_Toc457242272"/>
      <w:bookmarkStart w:id="3130" w:name="_Toc457242654"/>
      <w:bookmarkStart w:id="3131" w:name="_Toc457243037"/>
      <w:bookmarkStart w:id="3132" w:name="_Toc457243420"/>
      <w:bookmarkStart w:id="3133" w:name="_Toc457243796"/>
      <w:bookmarkStart w:id="3134" w:name="_Toc457244178"/>
      <w:bookmarkStart w:id="3135" w:name="_Toc457244555"/>
      <w:bookmarkStart w:id="3136" w:name="_Toc457244933"/>
      <w:bookmarkStart w:id="3137" w:name="_Toc457245306"/>
      <w:bookmarkStart w:id="3138" w:name="_Toc457245677"/>
      <w:bookmarkStart w:id="3139" w:name="_Toc457246046"/>
      <w:bookmarkStart w:id="3140" w:name="_Toc457246385"/>
      <w:bookmarkStart w:id="3141" w:name="_Toc457288840"/>
      <w:bookmarkStart w:id="3142" w:name="_Toc457290663"/>
      <w:bookmarkStart w:id="3143" w:name="_Toc457399036"/>
      <w:bookmarkStart w:id="3144" w:name="_Toc457458775"/>
      <w:bookmarkStart w:id="3145" w:name="_Toc457468065"/>
      <w:bookmarkStart w:id="3146" w:name="_Toc457483074"/>
      <w:bookmarkStart w:id="3147" w:name="_Toc457483470"/>
      <w:bookmarkStart w:id="3148" w:name="_Toc457506388"/>
      <w:bookmarkStart w:id="3149" w:name="_Toc457512415"/>
      <w:bookmarkStart w:id="3150" w:name="_Toc457242273"/>
      <w:bookmarkStart w:id="3151" w:name="_Toc457242655"/>
      <w:bookmarkStart w:id="3152" w:name="_Toc457243038"/>
      <w:bookmarkStart w:id="3153" w:name="_Toc457243421"/>
      <w:bookmarkStart w:id="3154" w:name="_Toc457243797"/>
      <w:bookmarkStart w:id="3155" w:name="_Toc457244179"/>
      <w:bookmarkStart w:id="3156" w:name="_Toc457244556"/>
      <w:bookmarkStart w:id="3157" w:name="_Toc457244934"/>
      <w:bookmarkStart w:id="3158" w:name="_Toc457245307"/>
      <w:bookmarkStart w:id="3159" w:name="_Toc457245678"/>
      <w:bookmarkStart w:id="3160" w:name="_Toc457246047"/>
      <w:bookmarkStart w:id="3161" w:name="_Toc457246386"/>
      <w:bookmarkStart w:id="3162" w:name="_Toc457288841"/>
      <w:bookmarkStart w:id="3163" w:name="_Toc457290664"/>
      <w:bookmarkStart w:id="3164" w:name="_Toc457399037"/>
      <w:bookmarkStart w:id="3165" w:name="_Toc457458776"/>
      <w:bookmarkStart w:id="3166" w:name="_Toc457468066"/>
      <w:bookmarkStart w:id="3167" w:name="_Toc457483075"/>
      <w:bookmarkStart w:id="3168" w:name="_Toc457483471"/>
      <w:bookmarkStart w:id="3169" w:name="_Toc457506389"/>
      <w:bookmarkStart w:id="3170" w:name="_Toc457512416"/>
      <w:bookmarkStart w:id="3171" w:name="_Toc457242274"/>
      <w:bookmarkStart w:id="3172" w:name="_Toc457242656"/>
      <w:bookmarkStart w:id="3173" w:name="_Toc457243039"/>
      <w:bookmarkStart w:id="3174" w:name="_Toc457243422"/>
      <w:bookmarkStart w:id="3175" w:name="_Toc457243798"/>
      <w:bookmarkStart w:id="3176" w:name="_Toc457244180"/>
      <w:bookmarkStart w:id="3177" w:name="_Toc457244557"/>
      <w:bookmarkStart w:id="3178" w:name="_Toc457244935"/>
      <w:bookmarkStart w:id="3179" w:name="_Toc457245308"/>
      <w:bookmarkStart w:id="3180" w:name="_Toc457245679"/>
      <w:bookmarkStart w:id="3181" w:name="_Toc457246048"/>
      <w:bookmarkStart w:id="3182" w:name="_Toc457246387"/>
      <w:bookmarkStart w:id="3183" w:name="_Toc457288842"/>
      <w:bookmarkStart w:id="3184" w:name="_Toc457290665"/>
      <w:bookmarkStart w:id="3185" w:name="_Toc457399038"/>
      <w:bookmarkStart w:id="3186" w:name="_Toc457458777"/>
      <w:bookmarkStart w:id="3187" w:name="_Toc457468067"/>
      <w:bookmarkStart w:id="3188" w:name="_Toc457483076"/>
      <w:bookmarkStart w:id="3189" w:name="_Toc457483472"/>
      <w:bookmarkStart w:id="3190" w:name="_Toc457506390"/>
      <w:bookmarkStart w:id="3191" w:name="_Toc457512417"/>
      <w:bookmarkStart w:id="3192" w:name="_Toc457242275"/>
      <w:bookmarkStart w:id="3193" w:name="_Toc457242657"/>
      <w:bookmarkStart w:id="3194" w:name="_Toc457243040"/>
      <w:bookmarkStart w:id="3195" w:name="_Toc457243423"/>
      <w:bookmarkStart w:id="3196" w:name="_Toc457243799"/>
      <w:bookmarkStart w:id="3197" w:name="_Toc457244181"/>
      <w:bookmarkStart w:id="3198" w:name="_Toc457244558"/>
      <w:bookmarkStart w:id="3199" w:name="_Toc457244936"/>
      <w:bookmarkStart w:id="3200" w:name="_Toc457245309"/>
      <w:bookmarkStart w:id="3201" w:name="_Toc457245680"/>
      <w:bookmarkStart w:id="3202" w:name="_Toc457246049"/>
      <w:bookmarkStart w:id="3203" w:name="_Toc457246388"/>
      <w:bookmarkStart w:id="3204" w:name="_Toc457288843"/>
      <w:bookmarkStart w:id="3205" w:name="_Toc457290666"/>
      <w:bookmarkStart w:id="3206" w:name="_Toc457399039"/>
      <w:bookmarkStart w:id="3207" w:name="_Toc457458778"/>
      <w:bookmarkStart w:id="3208" w:name="_Toc457468068"/>
      <w:bookmarkStart w:id="3209" w:name="_Toc457483077"/>
      <w:bookmarkStart w:id="3210" w:name="_Toc457483473"/>
      <w:bookmarkStart w:id="3211" w:name="_Toc457506391"/>
      <w:bookmarkStart w:id="3212" w:name="_Toc457512418"/>
      <w:bookmarkStart w:id="3213" w:name="_Toc457242276"/>
      <w:bookmarkStart w:id="3214" w:name="_Toc457242658"/>
      <w:bookmarkStart w:id="3215" w:name="_Toc457243041"/>
      <w:bookmarkStart w:id="3216" w:name="_Toc457243424"/>
      <w:bookmarkStart w:id="3217" w:name="_Toc457243800"/>
      <w:bookmarkStart w:id="3218" w:name="_Toc457244182"/>
      <w:bookmarkStart w:id="3219" w:name="_Toc457244559"/>
      <w:bookmarkStart w:id="3220" w:name="_Toc457244937"/>
      <w:bookmarkStart w:id="3221" w:name="_Toc457245310"/>
      <w:bookmarkStart w:id="3222" w:name="_Toc457245681"/>
      <w:bookmarkStart w:id="3223" w:name="_Toc457246050"/>
      <w:bookmarkStart w:id="3224" w:name="_Toc457246389"/>
      <w:bookmarkStart w:id="3225" w:name="_Toc457288844"/>
      <w:bookmarkStart w:id="3226" w:name="_Toc457290667"/>
      <w:bookmarkStart w:id="3227" w:name="_Toc457399040"/>
      <w:bookmarkStart w:id="3228" w:name="_Toc457458779"/>
      <w:bookmarkStart w:id="3229" w:name="_Toc457468069"/>
      <w:bookmarkStart w:id="3230" w:name="_Toc457483078"/>
      <w:bookmarkStart w:id="3231" w:name="_Toc457483474"/>
      <w:bookmarkStart w:id="3232" w:name="_Toc457506392"/>
      <w:bookmarkStart w:id="3233" w:name="_Toc457512419"/>
      <w:bookmarkStart w:id="3234" w:name="_Toc457242277"/>
      <w:bookmarkStart w:id="3235" w:name="_Toc457242659"/>
      <w:bookmarkStart w:id="3236" w:name="_Toc457243042"/>
      <w:bookmarkStart w:id="3237" w:name="_Toc457243425"/>
      <w:bookmarkStart w:id="3238" w:name="_Toc457243801"/>
      <w:bookmarkStart w:id="3239" w:name="_Toc457244183"/>
      <w:bookmarkStart w:id="3240" w:name="_Toc457244560"/>
      <w:bookmarkStart w:id="3241" w:name="_Toc457244938"/>
      <w:bookmarkStart w:id="3242" w:name="_Toc457245311"/>
      <w:bookmarkStart w:id="3243" w:name="_Toc457245682"/>
      <w:bookmarkStart w:id="3244" w:name="_Toc457246051"/>
      <w:bookmarkStart w:id="3245" w:name="_Toc457246390"/>
      <w:bookmarkStart w:id="3246" w:name="_Toc457288845"/>
      <w:bookmarkStart w:id="3247" w:name="_Toc457290668"/>
      <w:bookmarkStart w:id="3248" w:name="_Toc457399041"/>
      <w:bookmarkStart w:id="3249" w:name="_Toc457458780"/>
      <w:bookmarkStart w:id="3250" w:name="_Toc457468070"/>
      <w:bookmarkStart w:id="3251" w:name="_Toc457483079"/>
      <w:bookmarkStart w:id="3252" w:name="_Toc457483475"/>
      <w:bookmarkStart w:id="3253" w:name="_Toc457506393"/>
      <w:bookmarkStart w:id="3254" w:name="_Toc457512420"/>
      <w:bookmarkStart w:id="3255" w:name="_Toc457242278"/>
      <w:bookmarkStart w:id="3256" w:name="_Toc457242660"/>
      <w:bookmarkStart w:id="3257" w:name="_Toc457243043"/>
      <w:bookmarkStart w:id="3258" w:name="_Toc457243426"/>
      <w:bookmarkStart w:id="3259" w:name="_Toc457243802"/>
      <w:bookmarkStart w:id="3260" w:name="_Toc457244184"/>
      <w:bookmarkStart w:id="3261" w:name="_Toc457244561"/>
      <w:bookmarkStart w:id="3262" w:name="_Toc457244939"/>
      <w:bookmarkStart w:id="3263" w:name="_Toc457245312"/>
      <w:bookmarkStart w:id="3264" w:name="_Toc457245683"/>
      <w:bookmarkStart w:id="3265" w:name="_Toc457246052"/>
      <w:bookmarkStart w:id="3266" w:name="_Toc457246391"/>
      <w:bookmarkStart w:id="3267" w:name="_Toc457288846"/>
      <w:bookmarkStart w:id="3268" w:name="_Toc457290669"/>
      <w:bookmarkStart w:id="3269" w:name="_Toc457399042"/>
      <w:bookmarkStart w:id="3270" w:name="_Toc457458781"/>
      <w:bookmarkStart w:id="3271" w:name="_Toc457468071"/>
      <w:bookmarkStart w:id="3272" w:name="_Toc457483080"/>
      <w:bookmarkStart w:id="3273" w:name="_Toc457483476"/>
      <w:bookmarkStart w:id="3274" w:name="_Toc457506394"/>
      <w:bookmarkStart w:id="3275" w:name="_Toc457512421"/>
      <w:bookmarkStart w:id="3276" w:name="_Toc457242279"/>
      <w:bookmarkStart w:id="3277" w:name="_Toc457242661"/>
      <w:bookmarkStart w:id="3278" w:name="_Toc457243044"/>
      <w:bookmarkStart w:id="3279" w:name="_Toc457243427"/>
      <w:bookmarkStart w:id="3280" w:name="_Toc457243803"/>
      <w:bookmarkStart w:id="3281" w:name="_Toc457244185"/>
      <w:bookmarkStart w:id="3282" w:name="_Toc457244562"/>
      <w:bookmarkStart w:id="3283" w:name="_Toc457244940"/>
      <w:bookmarkStart w:id="3284" w:name="_Toc457245313"/>
      <w:bookmarkStart w:id="3285" w:name="_Toc457245684"/>
      <w:bookmarkStart w:id="3286" w:name="_Toc457246053"/>
      <w:bookmarkStart w:id="3287" w:name="_Toc457246392"/>
      <w:bookmarkStart w:id="3288" w:name="_Toc457288847"/>
      <w:bookmarkStart w:id="3289" w:name="_Toc457290670"/>
      <w:bookmarkStart w:id="3290" w:name="_Toc457399043"/>
      <w:bookmarkStart w:id="3291" w:name="_Toc457458782"/>
      <w:bookmarkStart w:id="3292" w:name="_Toc457468072"/>
      <w:bookmarkStart w:id="3293" w:name="_Toc457483081"/>
      <w:bookmarkStart w:id="3294" w:name="_Toc457483477"/>
      <w:bookmarkStart w:id="3295" w:name="_Toc457506395"/>
      <w:bookmarkStart w:id="3296" w:name="_Toc457512422"/>
      <w:bookmarkStart w:id="3297" w:name="_Toc457242280"/>
      <w:bookmarkStart w:id="3298" w:name="_Toc457242662"/>
      <w:bookmarkStart w:id="3299" w:name="_Toc457243045"/>
      <w:bookmarkStart w:id="3300" w:name="_Toc457243428"/>
      <w:bookmarkStart w:id="3301" w:name="_Toc457243804"/>
      <w:bookmarkStart w:id="3302" w:name="_Toc457244186"/>
      <w:bookmarkStart w:id="3303" w:name="_Toc457244563"/>
      <w:bookmarkStart w:id="3304" w:name="_Toc457244941"/>
      <w:bookmarkStart w:id="3305" w:name="_Toc457245314"/>
      <w:bookmarkStart w:id="3306" w:name="_Toc457245685"/>
      <w:bookmarkStart w:id="3307" w:name="_Toc457246054"/>
      <w:bookmarkStart w:id="3308" w:name="_Toc457246393"/>
      <w:bookmarkStart w:id="3309" w:name="_Toc457288848"/>
      <w:bookmarkStart w:id="3310" w:name="_Toc457290671"/>
      <w:bookmarkStart w:id="3311" w:name="_Toc457399044"/>
      <w:bookmarkStart w:id="3312" w:name="_Toc457458783"/>
      <w:bookmarkStart w:id="3313" w:name="_Toc457468073"/>
      <w:bookmarkStart w:id="3314" w:name="_Toc457483082"/>
      <w:bookmarkStart w:id="3315" w:name="_Toc457483478"/>
      <w:bookmarkStart w:id="3316" w:name="_Toc457506396"/>
      <w:bookmarkStart w:id="3317" w:name="_Toc457512423"/>
      <w:bookmarkStart w:id="3318" w:name="_Toc457242281"/>
      <w:bookmarkStart w:id="3319" w:name="_Toc457242663"/>
      <w:bookmarkStart w:id="3320" w:name="_Toc457243046"/>
      <w:bookmarkStart w:id="3321" w:name="_Toc457243429"/>
      <w:bookmarkStart w:id="3322" w:name="_Toc457243805"/>
      <w:bookmarkStart w:id="3323" w:name="_Toc457244187"/>
      <w:bookmarkStart w:id="3324" w:name="_Toc457244564"/>
      <w:bookmarkStart w:id="3325" w:name="_Toc457244942"/>
      <w:bookmarkStart w:id="3326" w:name="_Toc457245315"/>
      <w:bookmarkStart w:id="3327" w:name="_Toc457245686"/>
      <w:bookmarkStart w:id="3328" w:name="_Toc457246055"/>
      <w:bookmarkStart w:id="3329" w:name="_Toc457246394"/>
      <w:bookmarkStart w:id="3330" w:name="_Toc457288849"/>
      <w:bookmarkStart w:id="3331" w:name="_Toc457290672"/>
      <w:bookmarkStart w:id="3332" w:name="_Toc457399045"/>
      <w:bookmarkStart w:id="3333" w:name="_Toc457458784"/>
      <w:bookmarkStart w:id="3334" w:name="_Toc457468074"/>
      <w:bookmarkStart w:id="3335" w:name="_Toc457483083"/>
      <w:bookmarkStart w:id="3336" w:name="_Toc457483479"/>
      <w:bookmarkStart w:id="3337" w:name="_Toc457506397"/>
      <w:bookmarkStart w:id="3338" w:name="_Toc457512424"/>
      <w:bookmarkStart w:id="3339" w:name="_Toc457242282"/>
      <w:bookmarkStart w:id="3340" w:name="_Toc457242664"/>
      <w:bookmarkStart w:id="3341" w:name="_Toc457243047"/>
      <w:bookmarkStart w:id="3342" w:name="_Toc457243430"/>
      <w:bookmarkStart w:id="3343" w:name="_Toc457243806"/>
      <w:bookmarkStart w:id="3344" w:name="_Toc457244188"/>
      <w:bookmarkStart w:id="3345" w:name="_Toc457244565"/>
      <w:bookmarkStart w:id="3346" w:name="_Toc457244943"/>
      <w:bookmarkStart w:id="3347" w:name="_Toc457245316"/>
      <w:bookmarkStart w:id="3348" w:name="_Toc457245687"/>
      <w:bookmarkStart w:id="3349" w:name="_Toc457246056"/>
      <w:bookmarkStart w:id="3350" w:name="_Toc457246395"/>
      <w:bookmarkStart w:id="3351" w:name="_Toc457288850"/>
      <w:bookmarkStart w:id="3352" w:name="_Toc457290673"/>
      <w:bookmarkStart w:id="3353" w:name="_Toc457399046"/>
      <w:bookmarkStart w:id="3354" w:name="_Toc457458785"/>
      <w:bookmarkStart w:id="3355" w:name="_Toc457468075"/>
      <w:bookmarkStart w:id="3356" w:name="_Toc457483084"/>
      <w:bookmarkStart w:id="3357" w:name="_Toc457483480"/>
      <w:bookmarkStart w:id="3358" w:name="_Toc457506398"/>
      <w:bookmarkStart w:id="3359" w:name="_Toc457512425"/>
      <w:bookmarkStart w:id="3360" w:name="_Toc457242283"/>
      <w:bookmarkStart w:id="3361" w:name="_Toc457242665"/>
      <w:bookmarkStart w:id="3362" w:name="_Toc457243048"/>
      <w:bookmarkStart w:id="3363" w:name="_Toc457243431"/>
      <w:bookmarkStart w:id="3364" w:name="_Toc457243807"/>
      <w:bookmarkStart w:id="3365" w:name="_Toc457244189"/>
      <w:bookmarkStart w:id="3366" w:name="_Toc457244566"/>
      <w:bookmarkStart w:id="3367" w:name="_Toc457244944"/>
      <w:bookmarkStart w:id="3368" w:name="_Toc457245317"/>
      <w:bookmarkStart w:id="3369" w:name="_Toc457245688"/>
      <w:bookmarkStart w:id="3370" w:name="_Toc457246057"/>
      <w:bookmarkStart w:id="3371" w:name="_Toc457246396"/>
      <w:bookmarkStart w:id="3372" w:name="_Toc457288851"/>
      <w:bookmarkStart w:id="3373" w:name="_Toc457290674"/>
      <w:bookmarkStart w:id="3374" w:name="_Toc457399047"/>
      <w:bookmarkStart w:id="3375" w:name="_Toc457458786"/>
      <w:bookmarkStart w:id="3376" w:name="_Toc457468076"/>
      <w:bookmarkStart w:id="3377" w:name="_Toc457483085"/>
      <w:bookmarkStart w:id="3378" w:name="_Toc457483481"/>
      <w:bookmarkStart w:id="3379" w:name="_Toc457506399"/>
      <w:bookmarkStart w:id="3380" w:name="_Toc457512426"/>
      <w:bookmarkStart w:id="3381" w:name="_Toc457242284"/>
      <w:bookmarkStart w:id="3382" w:name="_Toc457242666"/>
      <w:bookmarkStart w:id="3383" w:name="_Toc457243049"/>
      <w:bookmarkStart w:id="3384" w:name="_Toc457243432"/>
      <w:bookmarkStart w:id="3385" w:name="_Toc457243808"/>
      <w:bookmarkStart w:id="3386" w:name="_Toc457244190"/>
      <w:bookmarkStart w:id="3387" w:name="_Toc457244567"/>
      <w:bookmarkStart w:id="3388" w:name="_Toc457244945"/>
      <w:bookmarkStart w:id="3389" w:name="_Toc457245318"/>
      <w:bookmarkStart w:id="3390" w:name="_Toc457245689"/>
      <w:bookmarkStart w:id="3391" w:name="_Toc457246058"/>
      <w:bookmarkStart w:id="3392" w:name="_Toc457246397"/>
      <w:bookmarkStart w:id="3393" w:name="_Toc457288852"/>
      <w:bookmarkStart w:id="3394" w:name="_Toc457290675"/>
      <w:bookmarkStart w:id="3395" w:name="_Toc457399048"/>
      <w:bookmarkStart w:id="3396" w:name="_Toc457458787"/>
      <w:bookmarkStart w:id="3397" w:name="_Toc457468077"/>
      <w:bookmarkStart w:id="3398" w:name="_Toc457483086"/>
      <w:bookmarkStart w:id="3399" w:name="_Toc457483482"/>
      <w:bookmarkStart w:id="3400" w:name="_Toc457506400"/>
      <w:bookmarkStart w:id="3401" w:name="_Toc457512427"/>
      <w:bookmarkStart w:id="3402" w:name="_Toc457242285"/>
      <w:bookmarkStart w:id="3403" w:name="_Toc457242667"/>
      <w:bookmarkStart w:id="3404" w:name="_Toc457243050"/>
      <w:bookmarkStart w:id="3405" w:name="_Toc457243433"/>
      <w:bookmarkStart w:id="3406" w:name="_Toc457243809"/>
      <w:bookmarkStart w:id="3407" w:name="_Toc457244191"/>
      <w:bookmarkStart w:id="3408" w:name="_Toc457244568"/>
      <w:bookmarkStart w:id="3409" w:name="_Toc457244946"/>
      <w:bookmarkStart w:id="3410" w:name="_Toc457245319"/>
      <w:bookmarkStart w:id="3411" w:name="_Toc457245690"/>
      <w:bookmarkStart w:id="3412" w:name="_Toc457246059"/>
      <w:bookmarkStart w:id="3413" w:name="_Toc457246398"/>
      <w:bookmarkStart w:id="3414" w:name="_Toc457288853"/>
      <w:bookmarkStart w:id="3415" w:name="_Toc457290676"/>
      <w:bookmarkStart w:id="3416" w:name="_Toc457399049"/>
      <w:bookmarkStart w:id="3417" w:name="_Toc457458788"/>
      <w:bookmarkStart w:id="3418" w:name="_Toc457468078"/>
      <w:bookmarkStart w:id="3419" w:name="_Toc457483087"/>
      <w:bookmarkStart w:id="3420" w:name="_Toc457483483"/>
      <w:bookmarkStart w:id="3421" w:name="_Toc457506401"/>
      <w:bookmarkStart w:id="3422" w:name="_Toc457512428"/>
      <w:bookmarkStart w:id="3423" w:name="_Toc457242286"/>
      <w:bookmarkStart w:id="3424" w:name="_Toc457242668"/>
      <w:bookmarkStart w:id="3425" w:name="_Toc457243051"/>
      <w:bookmarkStart w:id="3426" w:name="_Toc457243434"/>
      <w:bookmarkStart w:id="3427" w:name="_Toc457243810"/>
      <w:bookmarkStart w:id="3428" w:name="_Toc457244192"/>
      <w:bookmarkStart w:id="3429" w:name="_Toc457244569"/>
      <w:bookmarkStart w:id="3430" w:name="_Toc457244947"/>
      <w:bookmarkStart w:id="3431" w:name="_Toc457245320"/>
      <w:bookmarkStart w:id="3432" w:name="_Toc457245691"/>
      <w:bookmarkStart w:id="3433" w:name="_Toc457246060"/>
      <w:bookmarkStart w:id="3434" w:name="_Toc457246399"/>
      <w:bookmarkStart w:id="3435" w:name="_Toc457288854"/>
      <w:bookmarkStart w:id="3436" w:name="_Toc457290677"/>
      <w:bookmarkStart w:id="3437" w:name="_Toc457399050"/>
      <w:bookmarkStart w:id="3438" w:name="_Toc457458789"/>
      <w:bookmarkStart w:id="3439" w:name="_Toc457468079"/>
      <w:bookmarkStart w:id="3440" w:name="_Toc457483088"/>
      <w:bookmarkStart w:id="3441" w:name="_Toc457483484"/>
      <w:bookmarkStart w:id="3442" w:name="_Toc457506402"/>
      <w:bookmarkStart w:id="3443" w:name="_Toc457512429"/>
      <w:bookmarkStart w:id="3444" w:name="_Toc457242287"/>
      <w:bookmarkStart w:id="3445" w:name="_Toc457242669"/>
      <w:bookmarkStart w:id="3446" w:name="_Toc457243052"/>
      <w:bookmarkStart w:id="3447" w:name="_Toc457243435"/>
      <w:bookmarkStart w:id="3448" w:name="_Toc457243811"/>
      <w:bookmarkStart w:id="3449" w:name="_Toc457244193"/>
      <w:bookmarkStart w:id="3450" w:name="_Toc457244570"/>
      <w:bookmarkStart w:id="3451" w:name="_Toc457244948"/>
      <w:bookmarkStart w:id="3452" w:name="_Toc457245321"/>
      <w:bookmarkStart w:id="3453" w:name="_Toc457245692"/>
      <w:bookmarkStart w:id="3454" w:name="_Toc457246061"/>
      <w:bookmarkStart w:id="3455" w:name="_Toc457246400"/>
      <w:bookmarkStart w:id="3456" w:name="_Toc457288855"/>
      <w:bookmarkStart w:id="3457" w:name="_Toc457290678"/>
      <w:bookmarkStart w:id="3458" w:name="_Toc457399051"/>
      <w:bookmarkStart w:id="3459" w:name="_Toc457458790"/>
      <w:bookmarkStart w:id="3460" w:name="_Toc457468080"/>
      <w:bookmarkStart w:id="3461" w:name="_Toc457483089"/>
      <w:bookmarkStart w:id="3462" w:name="_Toc457483485"/>
      <w:bookmarkStart w:id="3463" w:name="_Toc457506403"/>
      <w:bookmarkStart w:id="3464" w:name="_Toc457512430"/>
      <w:bookmarkStart w:id="3465" w:name="_Toc457242288"/>
      <w:bookmarkStart w:id="3466" w:name="_Toc457242670"/>
      <w:bookmarkStart w:id="3467" w:name="_Toc457243053"/>
      <w:bookmarkStart w:id="3468" w:name="_Toc457243436"/>
      <w:bookmarkStart w:id="3469" w:name="_Toc457243812"/>
      <w:bookmarkStart w:id="3470" w:name="_Toc457244194"/>
      <w:bookmarkStart w:id="3471" w:name="_Toc457244571"/>
      <w:bookmarkStart w:id="3472" w:name="_Toc457244949"/>
      <w:bookmarkStart w:id="3473" w:name="_Toc457245322"/>
      <w:bookmarkStart w:id="3474" w:name="_Toc457245693"/>
      <w:bookmarkStart w:id="3475" w:name="_Toc457246062"/>
      <w:bookmarkStart w:id="3476" w:name="_Toc457246401"/>
      <w:bookmarkStart w:id="3477" w:name="_Toc457288856"/>
      <w:bookmarkStart w:id="3478" w:name="_Toc457290679"/>
      <w:bookmarkStart w:id="3479" w:name="_Toc457399052"/>
      <w:bookmarkStart w:id="3480" w:name="_Toc457458791"/>
      <w:bookmarkStart w:id="3481" w:name="_Toc457468081"/>
      <w:bookmarkStart w:id="3482" w:name="_Toc457483090"/>
      <w:bookmarkStart w:id="3483" w:name="_Toc457483486"/>
      <w:bookmarkStart w:id="3484" w:name="_Toc457506404"/>
      <w:bookmarkStart w:id="3485" w:name="_Toc457512431"/>
      <w:bookmarkStart w:id="3486" w:name="_Toc457242289"/>
      <w:bookmarkStart w:id="3487" w:name="_Toc457242671"/>
      <w:bookmarkStart w:id="3488" w:name="_Toc457243054"/>
      <w:bookmarkStart w:id="3489" w:name="_Toc457243437"/>
      <w:bookmarkStart w:id="3490" w:name="_Toc457243813"/>
      <w:bookmarkStart w:id="3491" w:name="_Toc457244195"/>
      <w:bookmarkStart w:id="3492" w:name="_Toc457244572"/>
      <w:bookmarkStart w:id="3493" w:name="_Toc457244950"/>
      <w:bookmarkStart w:id="3494" w:name="_Toc457245323"/>
      <w:bookmarkStart w:id="3495" w:name="_Toc457245694"/>
      <w:bookmarkStart w:id="3496" w:name="_Toc457246063"/>
      <w:bookmarkStart w:id="3497" w:name="_Toc457246402"/>
      <w:bookmarkStart w:id="3498" w:name="_Toc457288857"/>
      <w:bookmarkStart w:id="3499" w:name="_Toc457290680"/>
      <w:bookmarkStart w:id="3500" w:name="_Toc457399053"/>
      <w:bookmarkStart w:id="3501" w:name="_Toc457458792"/>
      <w:bookmarkStart w:id="3502" w:name="_Toc457468082"/>
      <w:bookmarkStart w:id="3503" w:name="_Toc457483091"/>
      <w:bookmarkStart w:id="3504" w:name="_Toc457483487"/>
      <w:bookmarkStart w:id="3505" w:name="_Toc457506405"/>
      <w:bookmarkStart w:id="3506" w:name="_Toc457512432"/>
      <w:bookmarkStart w:id="3507" w:name="_Toc457242290"/>
      <w:bookmarkStart w:id="3508" w:name="_Toc457242672"/>
      <w:bookmarkStart w:id="3509" w:name="_Toc457243055"/>
      <w:bookmarkStart w:id="3510" w:name="_Toc457243438"/>
      <w:bookmarkStart w:id="3511" w:name="_Toc457243814"/>
      <w:bookmarkStart w:id="3512" w:name="_Toc457244196"/>
      <w:bookmarkStart w:id="3513" w:name="_Toc457244573"/>
      <w:bookmarkStart w:id="3514" w:name="_Toc457244951"/>
      <w:bookmarkStart w:id="3515" w:name="_Toc457245324"/>
      <w:bookmarkStart w:id="3516" w:name="_Toc457245695"/>
      <w:bookmarkStart w:id="3517" w:name="_Toc457246064"/>
      <w:bookmarkStart w:id="3518" w:name="_Toc457246403"/>
      <w:bookmarkStart w:id="3519" w:name="_Toc457288858"/>
      <w:bookmarkStart w:id="3520" w:name="_Toc457290681"/>
      <w:bookmarkStart w:id="3521" w:name="_Toc457399054"/>
      <w:bookmarkStart w:id="3522" w:name="_Toc457458793"/>
      <w:bookmarkStart w:id="3523" w:name="_Toc457468083"/>
      <w:bookmarkStart w:id="3524" w:name="_Toc457483092"/>
      <w:bookmarkStart w:id="3525" w:name="_Toc457483488"/>
      <w:bookmarkStart w:id="3526" w:name="_Toc457506406"/>
      <w:bookmarkStart w:id="3527" w:name="_Toc457512433"/>
      <w:bookmarkStart w:id="3528" w:name="_Toc457242291"/>
      <w:bookmarkStart w:id="3529" w:name="_Toc457242673"/>
      <w:bookmarkStart w:id="3530" w:name="_Toc457243056"/>
      <w:bookmarkStart w:id="3531" w:name="_Toc457243439"/>
      <w:bookmarkStart w:id="3532" w:name="_Toc457243815"/>
      <w:bookmarkStart w:id="3533" w:name="_Toc457244197"/>
      <w:bookmarkStart w:id="3534" w:name="_Toc457244574"/>
      <w:bookmarkStart w:id="3535" w:name="_Toc457244952"/>
      <w:bookmarkStart w:id="3536" w:name="_Toc457245325"/>
      <w:bookmarkStart w:id="3537" w:name="_Toc457245696"/>
      <w:bookmarkStart w:id="3538" w:name="_Toc457246065"/>
      <w:bookmarkStart w:id="3539" w:name="_Toc457246404"/>
      <w:bookmarkStart w:id="3540" w:name="_Toc457288859"/>
      <w:bookmarkStart w:id="3541" w:name="_Toc457290682"/>
      <w:bookmarkStart w:id="3542" w:name="_Toc457399055"/>
      <w:bookmarkStart w:id="3543" w:name="_Toc457458794"/>
      <w:bookmarkStart w:id="3544" w:name="_Toc457468084"/>
      <w:bookmarkStart w:id="3545" w:name="_Toc457483093"/>
      <w:bookmarkStart w:id="3546" w:name="_Toc457483489"/>
      <w:bookmarkStart w:id="3547" w:name="_Toc457506407"/>
      <w:bookmarkStart w:id="3548" w:name="_Toc457512434"/>
      <w:bookmarkStart w:id="3549" w:name="_Toc457242292"/>
      <w:bookmarkStart w:id="3550" w:name="_Toc457242674"/>
      <w:bookmarkStart w:id="3551" w:name="_Toc457243057"/>
      <w:bookmarkStart w:id="3552" w:name="_Toc457243440"/>
      <w:bookmarkStart w:id="3553" w:name="_Toc457243816"/>
      <w:bookmarkStart w:id="3554" w:name="_Toc457244198"/>
      <w:bookmarkStart w:id="3555" w:name="_Toc457244575"/>
      <w:bookmarkStart w:id="3556" w:name="_Toc457244953"/>
      <w:bookmarkStart w:id="3557" w:name="_Toc457245326"/>
      <w:bookmarkStart w:id="3558" w:name="_Toc457245697"/>
      <w:bookmarkStart w:id="3559" w:name="_Toc457246066"/>
      <w:bookmarkStart w:id="3560" w:name="_Toc457246405"/>
      <w:bookmarkStart w:id="3561" w:name="_Toc457288860"/>
      <w:bookmarkStart w:id="3562" w:name="_Toc457290683"/>
      <w:bookmarkStart w:id="3563" w:name="_Toc457399056"/>
      <w:bookmarkStart w:id="3564" w:name="_Toc457458795"/>
      <w:bookmarkStart w:id="3565" w:name="_Toc457468085"/>
      <w:bookmarkStart w:id="3566" w:name="_Toc457483094"/>
      <w:bookmarkStart w:id="3567" w:name="_Toc457483490"/>
      <w:bookmarkStart w:id="3568" w:name="_Toc457506408"/>
      <w:bookmarkStart w:id="3569" w:name="_Toc457512435"/>
      <w:bookmarkStart w:id="3570" w:name="_Toc457242293"/>
      <w:bookmarkStart w:id="3571" w:name="_Toc457242675"/>
      <w:bookmarkStart w:id="3572" w:name="_Toc457243058"/>
      <w:bookmarkStart w:id="3573" w:name="_Toc457243441"/>
      <w:bookmarkStart w:id="3574" w:name="_Toc457243817"/>
      <w:bookmarkStart w:id="3575" w:name="_Toc457244199"/>
      <w:bookmarkStart w:id="3576" w:name="_Toc457244576"/>
      <w:bookmarkStart w:id="3577" w:name="_Toc457244954"/>
      <w:bookmarkStart w:id="3578" w:name="_Toc457245327"/>
      <w:bookmarkStart w:id="3579" w:name="_Toc457245698"/>
      <w:bookmarkStart w:id="3580" w:name="_Toc457246067"/>
      <w:bookmarkStart w:id="3581" w:name="_Toc457246406"/>
      <w:bookmarkStart w:id="3582" w:name="_Toc457288861"/>
      <w:bookmarkStart w:id="3583" w:name="_Toc457290684"/>
      <w:bookmarkStart w:id="3584" w:name="_Toc457399057"/>
      <w:bookmarkStart w:id="3585" w:name="_Toc457458796"/>
      <w:bookmarkStart w:id="3586" w:name="_Toc457468086"/>
      <w:bookmarkStart w:id="3587" w:name="_Toc457483095"/>
      <w:bookmarkStart w:id="3588" w:name="_Toc457483491"/>
      <w:bookmarkStart w:id="3589" w:name="_Toc457506409"/>
      <w:bookmarkStart w:id="3590" w:name="_Toc457512436"/>
      <w:bookmarkStart w:id="3591" w:name="_Toc457242294"/>
      <w:bookmarkStart w:id="3592" w:name="_Toc457242676"/>
      <w:bookmarkStart w:id="3593" w:name="_Toc457243059"/>
      <w:bookmarkStart w:id="3594" w:name="_Toc457243442"/>
      <w:bookmarkStart w:id="3595" w:name="_Toc457243818"/>
      <w:bookmarkStart w:id="3596" w:name="_Toc457244200"/>
      <w:bookmarkStart w:id="3597" w:name="_Toc457244577"/>
      <w:bookmarkStart w:id="3598" w:name="_Toc457244955"/>
      <w:bookmarkStart w:id="3599" w:name="_Toc457245328"/>
      <w:bookmarkStart w:id="3600" w:name="_Toc457245699"/>
      <w:bookmarkStart w:id="3601" w:name="_Toc457246068"/>
      <w:bookmarkStart w:id="3602" w:name="_Toc457246407"/>
      <w:bookmarkStart w:id="3603" w:name="_Toc457288862"/>
      <w:bookmarkStart w:id="3604" w:name="_Toc457290685"/>
      <w:bookmarkStart w:id="3605" w:name="_Toc457399058"/>
      <w:bookmarkStart w:id="3606" w:name="_Toc457458797"/>
      <w:bookmarkStart w:id="3607" w:name="_Toc457468087"/>
      <w:bookmarkStart w:id="3608" w:name="_Toc457483096"/>
      <w:bookmarkStart w:id="3609" w:name="_Toc457483492"/>
      <w:bookmarkStart w:id="3610" w:name="_Toc457506410"/>
      <w:bookmarkStart w:id="3611" w:name="_Toc457512437"/>
      <w:bookmarkStart w:id="3612" w:name="_Toc457242295"/>
      <w:bookmarkStart w:id="3613" w:name="_Toc457242677"/>
      <w:bookmarkStart w:id="3614" w:name="_Toc457243060"/>
      <w:bookmarkStart w:id="3615" w:name="_Toc457243443"/>
      <w:bookmarkStart w:id="3616" w:name="_Toc457243819"/>
      <w:bookmarkStart w:id="3617" w:name="_Toc457244201"/>
      <w:bookmarkStart w:id="3618" w:name="_Toc457244578"/>
      <w:bookmarkStart w:id="3619" w:name="_Toc457244956"/>
      <w:bookmarkStart w:id="3620" w:name="_Toc457245329"/>
      <w:bookmarkStart w:id="3621" w:name="_Toc457245700"/>
      <w:bookmarkStart w:id="3622" w:name="_Toc457246069"/>
      <w:bookmarkStart w:id="3623" w:name="_Toc457246408"/>
      <w:bookmarkStart w:id="3624" w:name="_Toc457288863"/>
      <w:bookmarkStart w:id="3625" w:name="_Toc457290686"/>
      <w:bookmarkStart w:id="3626" w:name="_Toc457399059"/>
      <w:bookmarkStart w:id="3627" w:name="_Toc457458798"/>
      <w:bookmarkStart w:id="3628" w:name="_Toc457468088"/>
      <w:bookmarkStart w:id="3629" w:name="_Toc457483097"/>
      <w:bookmarkStart w:id="3630" w:name="_Toc457483493"/>
      <w:bookmarkStart w:id="3631" w:name="_Toc457506411"/>
      <w:bookmarkStart w:id="3632" w:name="_Toc457512438"/>
      <w:bookmarkStart w:id="3633" w:name="_Toc457242296"/>
      <w:bookmarkStart w:id="3634" w:name="_Toc457242678"/>
      <w:bookmarkStart w:id="3635" w:name="_Toc457243061"/>
      <w:bookmarkStart w:id="3636" w:name="_Toc457243444"/>
      <w:bookmarkStart w:id="3637" w:name="_Toc457243820"/>
      <w:bookmarkStart w:id="3638" w:name="_Toc457244202"/>
      <w:bookmarkStart w:id="3639" w:name="_Toc457244579"/>
      <w:bookmarkStart w:id="3640" w:name="_Toc457244957"/>
      <w:bookmarkStart w:id="3641" w:name="_Toc457245330"/>
      <w:bookmarkStart w:id="3642" w:name="_Toc457245701"/>
      <w:bookmarkStart w:id="3643" w:name="_Toc457246070"/>
      <w:bookmarkStart w:id="3644" w:name="_Toc457246409"/>
      <w:bookmarkStart w:id="3645" w:name="_Toc457288864"/>
      <w:bookmarkStart w:id="3646" w:name="_Toc457290687"/>
      <w:bookmarkStart w:id="3647" w:name="_Toc457399060"/>
      <w:bookmarkStart w:id="3648" w:name="_Toc457458799"/>
      <w:bookmarkStart w:id="3649" w:name="_Toc457468089"/>
      <w:bookmarkStart w:id="3650" w:name="_Toc457483098"/>
      <w:bookmarkStart w:id="3651" w:name="_Toc457483494"/>
      <w:bookmarkStart w:id="3652" w:name="_Toc457506412"/>
      <w:bookmarkStart w:id="3653" w:name="_Toc457512439"/>
      <w:bookmarkStart w:id="3654" w:name="_Toc457242297"/>
      <w:bookmarkStart w:id="3655" w:name="_Toc457242679"/>
      <w:bookmarkStart w:id="3656" w:name="_Toc457243062"/>
      <w:bookmarkStart w:id="3657" w:name="_Toc457243445"/>
      <w:bookmarkStart w:id="3658" w:name="_Toc457243821"/>
      <w:bookmarkStart w:id="3659" w:name="_Toc457244203"/>
      <w:bookmarkStart w:id="3660" w:name="_Toc457244580"/>
      <w:bookmarkStart w:id="3661" w:name="_Toc457244958"/>
      <w:bookmarkStart w:id="3662" w:name="_Toc457245331"/>
      <w:bookmarkStart w:id="3663" w:name="_Toc457245702"/>
      <w:bookmarkStart w:id="3664" w:name="_Toc457246071"/>
      <w:bookmarkStart w:id="3665" w:name="_Toc457246410"/>
      <w:bookmarkStart w:id="3666" w:name="_Toc457288865"/>
      <w:bookmarkStart w:id="3667" w:name="_Toc457290688"/>
      <w:bookmarkStart w:id="3668" w:name="_Toc457399061"/>
      <w:bookmarkStart w:id="3669" w:name="_Toc457458800"/>
      <w:bookmarkStart w:id="3670" w:name="_Toc457468090"/>
      <w:bookmarkStart w:id="3671" w:name="_Toc457483099"/>
      <w:bookmarkStart w:id="3672" w:name="_Toc457483495"/>
      <w:bookmarkStart w:id="3673" w:name="_Toc457506413"/>
      <w:bookmarkStart w:id="3674" w:name="_Toc457512440"/>
      <w:bookmarkStart w:id="3675" w:name="_Toc457242298"/>
      <w:bookmarkStart w:id="3676" w:name="_Toc457242680"/>
      <w:bookmarkStart w:id="3677" w:name="_Toc457243063"/>
      <w:bookmarkStart w:id="3678" w:name="_Toc457243446"/>
      <w:bookmarkStart w:id="3679" w:name="_Toc457243822"/>
      <w:bookmarkStart w:id="3680" w:name="_Toc457244204"/>
      <w:bookmarkStart w:id="3681" w:name="_Toc457244581"/>
      <w:bookmarkStart w:id="3682" w:name="_Toc457244959"/>
      <w:bookmarkStart w:id="3683" w:name="_Toc457245332"/>
      <w:bookmarkStart w:id="3684" w:name="_Toc457245703"/>
      <w:bookmarkStart w:id="3685" w:name="_Toc457246072"/>
      <w:bookmarkStart w:id="3686" w:name="_Toc457246411"/>
      <w:bookmarkStart w:id="3687" w:name="_Toc457288866"/>
      <w:bookmarkStart w:id="3688" w:name="_Toc457290689"/>
      <w:bookmarkStart w:id="3689" w:name="_Toc457399062"/>
      <w:bookmarkStart w:id="3690" w:name="_Toc457458801"/>
      <w:bookmarkStart w:id="3691" w:name="_Toc457468091"/>
      <w:bookmarkStart w:id="3692" w:name="_Toc457483100"/>
      <w:bookmarkStart w:id="3693" w:name="_Toc457483496"/>
      <w:bookmarkStart w:id="3694" w:name="_Toc457506414"/>
      <w:bookmarkStart w:id="3695" w:name="_Toc457512441"/>
      <w:bookmarkStart w:id="3696" w:name="_Toc457242299"/>
      <w:bookmarkStart w:id="3697" w:name="_Toc457242681"/>
      <w:bookmarkStart w:id="3698" w:name="_Toc457243064"/>
      <w:bookmarkStart w:id="3699" w:name="_Toc457243447"/>
      <w:bookmarkStart w:id="3700" w:name="_Toc457243823"/>
      <w:bookmarkStart w:id="3701" w:name="_Toc457244205"/>
      <w:bookmarkStart w:id="3702" w:name="_Toc457244582"/>
      <w:bookmarkStart w:id="3703" w:name="_Toc457244960"/>
      <w:bookmarkStart w:id="3704" w:name="_Toc457245333"/>
      <w:bookmarkStart w:id="3705" w:name="_Toc457245704"/>
      <w:bookmarkStart w:id="3706" w:name="_Toc457246073"/>
      <w:bookmarkStart w:id="3707" w:name="_Toc457246412"/>
      <w:bookmarkStart w:id="3708" w:name="_Toc457288867"/>
      <w:bookmarkStart w:id="3709" w:name="_Toc457290690"/>
      <w:bookmarkStart w:id="3710" w:name="_Toc457399063"/>
      <w:bookmarkStart w:id="3711" w:name="_Toc457458802"/>
      <w:bookmarkStart w:id="3712" w:name="_Toc457468092"/>
      <w:bookmarkStart w:id="3713" w:name="_Toc457483101"/>
      <w:bookmarkStart w:id="3714" w:name="_Toc457483497"/>
      <w:bookmarkStart w:id="3715" w:name="_Toc457506415"/>
      <w:bookmarkStart w:id="3716" w:name="_Toc457512442"/>
      <w:bookmarkStart w:id="3717" w:name="_Toc457242300"/>
      <w:bookmarkStart w:id="3718" w:name="_Toc457242682"/>
      <w:bookmarkStart w:id="3719" w:name="_Toc457243065"/>
      <w:bookmarkStart w:id="3720" w:name="_Toc457243448"/>
      <w:bookmarkStart w:id="3721" w:name="_Toc457243824"/>
      <w:bookmarkStart w:id="3722" w:name="_Toc457244206"/>
      <w:bookmarkStart w:id="3723" w:name="_Toc457244583"/>
      <w:bookmarkStart w:id="3724" w:name="_Toc457244961"/>
      <w:bookmarkStart w:id="3725" w:name="_Toc457245334"/>
      <w:bookmarkStart w:id="3726" w:name="_Toc457245705"/>
      <w:bookmarkStart w:id="3727" w:name="_Toc457246074"/>
      <w:bookmarkStart w:id="3728" w:name="_Toc457246413"/>
      <w:bookmarkStart w:id="3729" w:name="_Toc457288868"/>
      <w:bookmarkStart w:id="3730" w:name="_Toc457290691"/>
      <w:bookmarkStart w:id="3731" w:name="_Toc457399064"/>
      <w:bookmarkStart w:id="3732" w:name="_Toc457458803"/>
      <w:bookmarkStart w:id="3733" w:name="_Toc457468093"/>
      <w:bookmarkStart w:id="3734" w:name="_Toc457483102"/>
      <w:bookmarkStart w:id="3735" w:name="_Toc457483498"/>
      <w:bookmarkStart w:id="3736" w:name="_Toc457506416"/>
      <w:bookmarkStart w:id="3737" w:name="_Toc457512443"/>
      <w:bookmarkStart w:id="3738" w:name="_Toc457242301"/>
      <w:bookmarkStart w:id="3739" w:name="_Toc457242683"/>
      <w:bookmarkStart w:id="3740" w:name="_Toc457243066"/>
      <w:bookmarkStart w:id="3741" w:name="_Toc457243449"/>
      <w:bookmarkStart w:id="3742" w:name="_Toc457243825"/>
      <w:bookmarkStart w:id="3743" w:name="_Toc457244207"/>
      <w:bookmarkStart w:id="3744" w:name="_Toc457244584"/>
      <w:bookmarkStart w:id="3745" w:name="_Toc457244962"/>
      <w:bookmarkStart w:id="3746" w:name="_Toc457245335"/>
      <w:bookmarkStart w:id="3747" w:name="_Toc457245706"/>
      <w:bookmarkStart w:id="3748" w:name="_Toc457246075"/>
      <w:bookmarkStart w:id="3749" w:name="_Toc457246414"/>
      <w:bookmarkStart w:id="3750" w:name="_Toc457288869"/>
      <w:bookmarkStart w:id="3751" w:name="_Toc457290692"/>
      <w:bookmarkStart w:id="3752" w:name="_Toc457399065"/>
      <w:bookmarkStart w:id="3753" w:name="_Toc457458804"/>
      <w:bookmarkStart w:id="3754" w:name="_Toc457468094"/>
      <w:bookmarkStart w:id="3755" w:name="_Toc457483103"/>
      <w:bookmarkStart w:id="3756" w:name="_Toc457483499"/>
      <w:bookmarkStart w:id="3757" w:name="_Toc457506417"/>
      <w:bookmarkStart w:id="3758" w:name="_Toc457512444"/>
      <w:bookmarkStart w:id="3759" w:name="_Toc457242302"/>
      <w:bookmarkStart w:id="3760" w:name="_Toc457242684"/>
      <w:bookmarkStart w:id="3761" w:name="_Toc457243067"/>
      <w:bookmarkStart w:id="3762" w:name="_Toc457243450"/>
      <w:bookmarkStart w:id="3763" w:name="_Toc457243826"/>
      <w:bookmarkStart w:id="3764" w:name="_Toc457244208"/>
      <w:bookmarkStart w:id="3765" w:name="_Toc457244585"/>
      <w:bookmarkStart w:id="3766" w:name="_Toc457244963"/>
      <w:bookmarkStart w:id="3767" w:name="_Toc457245336"/>
      <w:bookmarkStart w:id="3768" w:name="_Toc457245707"/>
      <w:bookmarkStart w:id="3769" w:name="_Toc457246076"/>
      <w:bookmarkStart w:id="3770" w:name="_Toc457246415"/>
      <w:bookmarkStart w:id="3771" w:name="_Toc457288870"/>
      <w:bookmarkStart w:id="3772" w:name="_Toc457290693"/>
      <w:bookmarkStart w:id="3773" w:name="_Toc457399066"/>
      <w:bookmarkStart w:id="3774" w:name="_Toc457458805"/>
      <w:bookmarkStart w:id="3775" w:name="_Toc457468095"/>
      <w:bookmarkStart w:id="3776" w:name="_Toc457483104"/>
      <w:bookmarkStart w:id="3777" w:name="_Toc457483500"/>
      <w:bookmarkStart w:id="3778" w:name="_Toc457506418"/>
      <w:bookmarkStart w:id="3779" w:name="_Toc457512445"/>
      <w:bookmarkStart w:id="3780" w:name="_Toc457242303"/>
      <w:bookmarkStart w:id="3781" w:name="_Toc457242685"/>
      <w:bookmarkStart w:id="3782" w:name="_Toc457243068"/>
      <w:bookmarkStart w:id="3783" w:name="_Toc457243451"/>
      <w:bookmarkStart w:id="3784" w:name="_Toc457243827"/>
      <w:bookmarkStart w:id="3785" w:name="_Toc457244209"/>
      <w:bookmarkStart w:id="3786" w:name="_Toc457244586"/>
      <w:bookmarkStart w:id="3787" w:name="_Toc457244964"/>
      <w:bookmarkStart w:id="3788" w:name="_Toc457245337"/>
      <w:bookmarkStart w:id="3789" w:name="_Toc457245708"/>
      <w:bookmarkStart w:id="3790" w:name="_Toc457246077"/>
      <w:bookmarkStart w:id="3791" w:name="_Toc457246416"/>
      <w:bookmarkStart w:id="3792" w:name="_Toc457288871"/>
      <w:bookmarkStart w:id="3793" w:name="_Toc457290694"/>
      <w:bookmarkStart w:id="3794" w:name="_Toc457399067"/>
      <w:bookmarkStart w:id="3795" w:name="_Toc457458806"/>
      <w:bookmarkStart w:id="3796" w:name="_Toc457468096"/>
      <w:bookmarkStart w:id="3797" w:name="_Toc457483105"/>
      <w:bookmarkStart w:id="3798" w:name="_Toc457483501"/>
      <w:bookmarkStart w:id="3799" w:name="_Toc457506419"/>
      <w:bookmarkStart w:id="3800" w:name="_Toc457512446"/>
      <w:bookmarkStart w:id="3801" w:name="_Toc457242304"/>
      <w:bookmarkStart w:id="3802" w:name="_Toc457242686"/>
      <w:bookmarkStart w:id="3803" w:name="_Toc457243069"/>
      <w:bookmarkStart w:id="3804" w:name="_Toc457243452"/>
      <w:bookmarkStart w:id="3805" w:name="_Toc457243828"/>
      <w:bookmarkStart w:id="3806" w:name="_Toc457244210"/>
      <w:bookmarkStart w:id="3807" w:name="_Toc457244587"/>
      <w:bookmarkStart w:id="3808" w:name="_Toc457244965"/>
      <w:bookmarkStart w:id="3809" w:name="_Toc457245338"/>
      <w:bookmarkStart w:id="3810" w:name="_Toc457245709"/>
      <w:bookmarkStart w:id="3811" w:name="_Toc457246078"/>
      <w:bookmarkStart w:id="3812" w:name="_Toc457246417"/>
      <w:bookmarkStart w:id="3813" w:name="_Toc457288872"/>
      <w:bookmarkStart w:id="3814" w:name="_Toc457290695"/>
      <w:bookmarkStart w:id="3815" w:name="_Toc457399068"/>
      <w:bookmarkStart w:id="3816" w:name="_Toc457458807"/>
      <w:bookmarkStart w:id="3817" w:name="_Toc457468097"/>
      <w:bookmarkStart w:id="3818" w:name="_Toc457483106"/>
      <w:bookmarkStart w:id="3819" w:name="_Toc457483502"/>
      <w:bookmarkStart w:id="3820" w:name="_Toc457506420"/>
      <w:bookmarkStart w:id="3821" w:name="_Toc457512447"/>
      <w:bookmarkStart w:id="3822" w:name="_Toc457242305"/>
      <w:bookmarkStart w:id="3823" w:name="_Toc457242687"/>
      <w:bookmarkStart w:id="3824" w:name="_Toc457243070"/>
      <w:bookmarkStart w:id="3825" w:name="_Toc457243453"/>
      <w:bookmarkStart w:id="3826" w:name="_Toc457243829"/>
      <w:bookmarkStart w:id="3827" w:name="_Toc457244211"/>
      <w:bookmarkStart w:id="3828" w:name="_Toc457244588"/>
      <w:bookmarkStart w:id="3829" w:name="_Toc457244966"/>
      <w:bookmarkStart w:id="3830" w:name="_Toc457245339"/>
      <w:bookmarkStart w:id="3831" w:name="_Toc457245710"/>
      <w:bookmarkStart w:id="3832" w:name="_Toc457246079"/>
      <w:bookmarkStart w:id="3833" w:name="_Toc457246418"/>
      <w:bookmarkStart w:id="3834" w:name="_Toc457288873"/>
      <w:bookmarkStart w:id="3835" w:name="_Toc457290696"/>
      <w:bookmarkStart w:id="3836" w:name="_Toc457399069"/>
      <w:bookmarkStart w:id="3837" w:name="_Toc457458808"/>
      <w:bookmarkStart w:id="3838" w:name="_Toc457468098"/>
      <w:bookmarkStart w:id="3839" w:name="_Toc457483107"/>
      <w:bookmarkStart w:id="3840" w:name="_Toc457483503"/>
      <w:bookmarkStart w:id="3841" w:name="_Toc457506421"/>
      <w:bookmarkStart w:id="3842" w:name="_Toc457512448"/>
      <w:bookmarkStart w:id="3843" w:name="_Toc457242306"/>
      <w:bookmarkStart w:id="3844" w:name="_Toc457242688"/>
      <w:bookmarkStart w:id="3845" w:name="_Toc457243071"/>
      <w:bookmarkStart w:id="3846" w:name="_Toc457243454"/>
      <w:bookmarkStart w:id="3847" w:name="_Toc457243830"/>
      <w:bookmarkStart w:id="3848" w:name="_Toc457244212"/>
      <w:bookmarkStart w:id="3849" w:name="_Toc457244589"/>
      <w:bookmarkStart w:id="3850" w:name="_Toc457244967"/>
      <w:bookmarkStart w:id="3851" w:name="_Toc457245340"/>
      <w:bookmarkStart w:id="3852" w:name="_Toc457245711"/>
      <w:bookmarkStart w:id="3853" w:name="_Toc457246080"/>
      <w:bookmarkStart w:id="3854" w:name="_Toc457246419"/>
      <w:bookmarkStart w:id="3855" w:name="_Toc457288874"/>
      <w:bookmarkStart w:id="3856" w:name="_Toc457290697"/>
      <w:bookmarkStart w:id="3857" w:name="_Toc457399070"/>
      <w:bookmarkStart w:id="3858" w:name="_Toc457458809"/>
      <w:bookmarkStart w:id="3859" w:name="_Toc457468099"/>
      <w:bookmarkStart w:id="3860" w:name="_Toc457483108"/>
      <w:bookmarkStart w:id="3861" w:name="_Toc457483504"/>
      <w:bookmarkStart w:id="3862" w:name="_Toc457506422"/>
      <w:bookmarkStart w:id="3863" w:name="_Toc457512449"/>
      <w:bookmarkStart w:id="3864" w:name="_Toc457242307"/>
      <w:bookmarkStart w:id="3865" w:name="_Toc457242689"/>
      <w:bookmarkStart w:id="3866" w:name="_Toc457243072"/>
      <w:bookmarkStart w:id="3867" w:name="_Toc457243455"/>
      <w:bookmarkStart w:id="3868" w:name="_Toc457243831"/>
      <w:bookmarkStart w:id="3869" w:name="_Toc457244213"/>
      <w:bookmarkStart w:id="3870" w:name="_Toc457244590"/>
      <w:bookmarkStart w:id="3871" w:name="_Toc457244968"/>
      <w:bookmarkStart w:id="3872" w:name="_Toc457245341"/>
      <w:bookmarkStart w:id="3873" w:name="_Toc457245712"/>
      <w:bookmarkStart w:id="3874" w:name="_Toc457246081"/>
      <w:bookmarkStart w:id="3875" w:name="_Toc457246420"/>
      <w:bookmarkStart w:id="3876" w:name="_Toc457288875"/>
      <w:bookmarkStart w:id="3877" w:name="_Toc457290698"/>
      <w:bookmarkStart w:id="3878" w:name="_Toc457399071"/>
      <w:bookmarkStart w:id="3879" w:name="_Toc457458810"/>
      <w:bookmarkStart w:id="3880" w:name="_Toc457468100"/>
      <w:bookmarkStart w:id="3881" w:name="_Toc457483109"/>
      <w:bookmarkStart w:id="3882" w:name="_Toc457483505"/>
      <w:bookmarkStart w:id="3883" w:name="_Toc457506423"/>
      <w:bookmarkStart w:id="3884" w:name="_Toc457512450"/>
      <w:bookmarkStart w:id="3885" w:name="_Toc457242308"/>
      <w:bookmarkStart w:id="3886" w:name="_Toc457242690"/>
      <w:bookmarkStart w:id="3887" w:name="_Toc457243073"/>
      <w:bookmarkStart w:id="3888" w:name="_Toc457243456"/>
      <w:bookmarkStart w:id="3889" w:name="_Toc457243832"/>
      <w:bookmarkStart w:id="3890" w:name="_Toc457244214"/>
      <w:bookmarkStart w:id="3891" w:name="_Toc457244591"/>
      <w:bookmarkStart w:id="3892" w:name="_Toc457244969"/>
      <w:bookmarkStart w:id="3893" w:name="_Toc457245342"/>
      <w:bookmarkStart w:id="3894" w:name="_Toc457245713"/>
      <w:bookmarkStart w:id="3895" w:name="_Toc457246082"/>
      <w:bookmarkStart w:id="3896" w:name="_Toc457246421"/>
      <w:bookmarkStart w:id="3897" w:name="_Toc457288876"/>
      <w:bookmarkStart w:id="3898" w:name="_Toc457290699"/>
      <w:bookmarkStart w:id="3899" w:name="_Toc457399072"/>
      <w:bookmarkStart w:id="3900" w:name="_Toc457458811"/>
      <w:bookmarkStart w:id="3901" w:name="_Toc457468101"/>
      <w:bookmarkStart w:id="3902" w:name="_Toc457483110"/>
      <w:bookmarkStart w:id="3903" w:name="_Toc457483506"/>
      <w:bookmarkStart w:id="3904" w:name="_Toc457506424"/>
      <w:bookmarkStart w:id="3905" w:name="_Toc457512451"/>
      <w:bookmarkStart w:id="3906" w:name="_Toc457242309"/>
      <w:bookmarkStart w:id="3907" w:name="_Toc457242691"/>
      <w:bookmarkStart w:id="3908" w:name="_Toc457243074"/>
      <w:bookmarkStart w:id="3909" w:name="_Toc457243457"/>
      <w:bookmarkStart w:id="3910" w:name="_Toc457243833"/>
      <w:bookmarkStart w:id="3911" w:name="_Toc457244215"/>
      <w:bookmarkStart w:id="3912" w:name="_Toc457244592"/>
      <w:bookmarkStart w:id="3913" w:name="_Toc457244970"/>
      <w:bookmarkStart w:id="3914" w:name="_Toc457245343"/>
      <w:bookmarkStart w:id="3915" w:name="_Toc457245714"/>
      <w:bookmarkStart w:id="3916" w:name="_Toc457246083"/>
      <w:bookmarkStart w:id="3917" w:name="_Toc457246422"/>
      <w:bookmarkStart w:id="3918" w:name="_Toc457288877"/>
      <w:bookmarkStart w:id="3919" w:name="_Toc457290700"/>
      <w:bookmarkStart w:id="3920" w:name="_Toc457399073"/>
      <w:bookmarkStart w:id="3921" w:name="_Toc457458812"/>
      <w:bookmarkStart w:id="3922" w:name="_Toc457468102"/>
      <w:bookmarkStart w:id="3923" w:name="_Toc457483111"/>
      <w:bookmarkStart w:id="3924" w:name="_Toc457483507"/>
      <w:bookmarkStart w:id="3925" w:name="_Toc457506425"/>
      <w:bookmarkStart w:id="3926" w:name="_Toc457512452"/>
      <w:bookmarkStart w:id="3927" w:name="_Toc457242310"/>
      <w:bookmarkStart w:id="3928" w:name="_Toc457242692"/>
      <w:bookmarkStart w:id="3929" w:name="_Toc457243075"/>
      <w:bookmarkStart w:id="3930" w:name="_Toc457243458"/>
      <w:bookmarkStart w:id="3931" w:name="_Toc457243834"/>
      <w:bookmarkStart w:id="3932" w:name="_Toc457244216"/>
      <w:bookmarkStart w:id="3933" w:name="_Toc457244593"/>
      <w:bookmarkStart w:id="3934" w:name="_Toc457244971"/>
      <w:bookmarkStart w:id="3935" w:name="_Toc457245344"/>
      <w:bookmarkStart w:id="3936" w:name="_Toc457245715"/>
      <w:bookmarkStart w:id="3937" w:name="_Toc457246084"/>
      <w:bookmarkStart w:id="3938" w:name="_Toc457246423"/>
      <w:bookmarkStart w:id="3939" w:name="_Toc457288878"/>
      <w:bookmarkStart w:id="3940" w:name="_Toc457290701"/>
      <w:bookmarkStart w:id="3941" w:name="_Toc457399074"/>
      <w:bookmarkStart w:id="3942" w:name="_Toc457458813"/>
      <w:bookmarkStart w:id="3943" w:name="_Toc457468103"/>
      <w:bookmarkStart w:id="3944" w:name="_Toc457483112"/>
      <w:bookmarkStart w:id="3945" w:name="_Toc457483508"/>
      <w:bookmarkStart w:id="3946" w:name="_Toc457506426"/>
      <w:bookmarkStart w:id="3947" w:name="_Toc457512453"/>
      <w:bookmarkStart w:id="3948" w:name="_Toc457242311"/>
      <w:bookmarkStart w:id="3949" w:name="_Toc457242693"/>
      <w:bookmarkStart w:id="3950" w:name="_Toc457243076"/>
      <w:bookmarkStart w:id="3951" w:name="_Toc457243459"/>
      <w:bookmarkStart w:id="3952" w:name="_Toc457243835"/>
      <w:bookmarkStart w:id="3953" w:name="_Toc457244217"/>
      <w:bookmarkStart w:id="3954" w:name="_Toc457244594"/>
      <w:bookmarkStart w:id="3955" w:name="_Toc457244972"/>
      <w:bookmarkStart w:id="3956" w:name="_Toc457245345"/>
      <w:bookmarkStart w:id="3957" w:name="_Toc457245716"/>
      <w:bookmarkStart w:id="3958" w:name="_Toc457246085"/>
      <w:bookmarkStart w:id="3959" w:name="_Toc457246424"/>
      <w:bookmarkStart w:id="3960" w:name="_Toc457288879"/>
      <w:bookmarkStart w:id="3961" w:name="_Toc457290702"/>
      <w:bookmarkStart w:id="3962" w:name="_Toc457399075"/>
      <w:bookmarkStart w:id="3963" w:name="_Toc457458814"/>
      <w:bookmarkStart w:id="3964" w:name="_Toc457468104"/>
      <w:bookmarkStart w:id="3965" w:name="_Toc457483113"/>
      <w:bookmarkStart w:id="3966" w:name="_Toc457483509"/>
      <w:bookmarkStart w:id="3967" w:name="_Toc457506427"/>
      <w:bookmarkStart w:id="3968" w:name="_Toc457512454"/>
      <w:bookmarkStart w:id="3969" w:name="_Toc457242312"/>
      <w:bookmarkStart w:id="3970" w:name="_Toc457242694"/>
      <w:bookmarkStart w:id="3971" w:name="_Toc457243077"/>
      <w:bookmarkStart w:id="3972" w:name="_Toc457243460"/>
      <w:bookmarkStart w:id="3973" w:name="_Toc457243836"/>
      <w:bookmarkStart w:id="3974" w:name="_Toc457244218"/>
      <w:bookmarkStart w:id="3975" w:name="_Toc457244595"/>
      <w:bookmarkStart w:id="3976" w:name="_Toc457244973"/>
      <w:bookmarkStart w:id="3977" w:name="_Toc457245346"/>
      <w:bookmarkStart w:id="3978" w:name="_Toc457245717"/>
      <w:bookmarkStart w:id="3979" w:name="_Toc457246086"/>
      <w:bookmarkStart w:id="3980" w:name="_Toc457246425"/>
      <w:bookmarkStart w:id="3981" w:name="_Toc457288880"/>
      <w:bookmarkStart w:id="3982" w:name="_Toc457290703"/>
      <w:bookmarkStart w:id="3983" w:name="_Toc457399076"/>
      <w:bookmarkStart w:id="3984" w:name="_Toc457458815"/>
      <w:bookmarkStart w:id="3985" w:name="_Toc457468105"/>
      <w:bookmarkStart w:id="3986" w:name="_Toc457483114"/>
      <w:bookmarkStart w:id="3987" w:name="_Toc457483510"/>
      <w:bookmarkStart w:id="3988" w:name="_Toc457506428"/>
      <w:bookmarkStart w:id="3989" w:name="_Toc457512455"/>
      <w:bookmarkStart w:id="3990" w:name="_Toc457242313"/>
      <w:bookmarkStart w:id="3991" w:name="_Toc457242695"/>
      <w:bookmarkStart w:id="3992" w:name="_Toc457243078"/>
      <w:bookmarkStart w:id="3993" w:name="_Toc457243461"/>
      <w:bookmarkStart w:id="3994" w:name="_Toc457243837"/>
      <w:bookmarkStart w:id="3995" w:name="_Toc457244219"/>
      <w:bookmarkStart w:id="3996" w:name="_Toc457244596"/>
      <w:bookmarkStart w:id="3997" w:name="_Toc457244974"/>
      <w:bookmarkStart w:id="3998" w:name="_Toc457245347"/>
      <w:bookmarkStart w:id="3999" w:name="_Toc457245718"/>
      <w:bookmarkStart w:id="4000" w:name="_Toc457246087"/>
      <w:bookmarkStart w:id="4001" w:name="_Toc457246426"/>
      <w:bookmarkStart w:id="4002" w:name="_Toc457288881"/>
      <w:bookmarkStart w:id="4003" w:name="_Toc457290704"/>
      <w:bookmarkStart w:id="4004" w:name="_Toc457399077"/>
      <w:bookmarkStart w:id="4005" w:name="_Toc457458816"/>
      <w:bookmarkStart w:id="4006" w:name="_Toc457468106"/>
      <w:bookmarkStart w:id="4007" w:name="_Toc457483115"/>
      <w:bookmarkStart w:id="4008" w:name="_Toc457483511"/>
      <w:bookmarkStart w:id="4009" w:name="_Toc457506429"/>
      <w:bookmarkStart w:id="4010" w:name="_Toc457512456"/>
      <w:bookmarkStart w:id="4011" w:name="_Toc457242314"/>
      <w:bookmarkStart w:id="4012" w:name="_Toc457242696"/>
      <w:bookmarkStart w:id="4013" w:name="_Toc457243079"/>
      <w:bookmarkStart w:id="4014" w:name="_Toc457243462"/>
      <w:bookmarkStart w:id="4015" w:name="_Toc457243838"/>
      <w:bookmarkStart w:id="4016" w:name="_Toc457244220"/>
      <w:bookmarkStart w:id="4017" w:name="_Toc457244597"/>
      <w:bookmarkStart w:id="4018" w:name="_Toc457244975"/>
      <w:bookmarkStart w:id="4019" w:name="_Toc457245348"/>
      <w:bookmarkStart w:id="4020" w:name="_Toc457245719"/>
      <w:bookmarkStart w:id="4021" w:name="_Toc457246088"/>
      <w:bookmarkStart w:id="4022" w:name="_Toc457246427"/>
      <w:bookmarkStart w:id="4023" w:name="_Toc457288882"/>
      <w:bookmarkStart w:id="4024" w:name="_Toc457290705"/>
      <w:bookmarkStart w:id="4025" w:name="_Toc457399078"/>
      <w:bookmarkStart w:id="4026" w:name="_Toc457458817"/>
      <w:bookmarkStart w:id="4027" w:name="_Toc457468107"/>
      <w:bookmarkStart w:id="4028" w:name="_Toc457483116"/>
      <w:bookmarkStart w:id="4029" w:name="_Toc457483512"/>
      <w:bookmarkStart w:id="4030" w:name="_Toc457506430"/>
      <w:bookmarkStart w:id="4031" w:name="_Toc457512457"/>
      <w:bookmarkStart w:id="4032" w:name="_Toc457242315"/>
      <w:bookmarkStart w:id="4033" w:name="_Toc457242697"/>
      <w:bookmarkStart w:id="4034" w:name="_Toc457243080"/>
      <w:bookmarkStart w:id="4035" w:name="_Toc457243463"/>
      <w:bookmarkStart w:id="4036" w:name="_Toc457243839"/>
      <w:bookmarkStart w:id="4037" w:name="_Toc457244221"/>
      <w:bookmarkStart w:id="4038" w:name="_Toc457244598"/>
      <w:bookmarkStart w:id="4039" w:name="_Toc457244976"/>
      <w:bookmarkStart w:id="4040" w:name="_Toc457245349"/>
      <w:bookmarkStart w:id="4041" w:name="_Toc457245720"/>
      <w:bookmarkStart w:id="4042" w:name="_Toc457246089"/>
      <w:bookmarkStart w:id="4043" w:name="_Toc457246428"/>
      <w:bookmarkStart w:id="4044" w:name="_Toc457288883"/>
      <w:bookmarkStart w:id="4045" w:name="_Toc457290706"/>
      <w:bookmarkStart w:id="4046" w:name="_Toc457399079"/>
      <w:bookmarkStart w:id="4047" w:name="_Toc457458818"/>
      <w:bookmarkStart w:id="4048" w:name="_Toc457468108"/>
      <w:bookmarkStart w:id="4049" w:name="_Toc457483117"/>
      <w:bookmarkStart w:id="4050" w:name="_Toc457483513"/>
      <w:bookmarkStart w:id="4051" w:name="_Toc457506431"/>
      <w:bookmarkStart w:id="4052" w:name="_Toc457512458"/>
      <w:bookmarkStart w:id="4053" w:name="_Toc457242316"/>
      <w:bookmarkStart w:id="4054" w:name="_Toc457242698"/>
      <w:bookmarkStart w:id="4055" w:name="_Toc457243081"/>
      <w:bookmarkStart w:id="4056" w:name="_Toc457243464"/>
      <w:bookmarkStart w:id="4057" w:name="_Toc457243840"/>
      <w:bookmarkStart w:id="4058" w:name="_Toc457244222"/>
      <w:bookmarkStart w:id="4059" w:name="_Toc457244599"/>
      <w:bookmarkStart w:id="4060" w:name="_Toc457244977"/>
      <w:bookmarkStart w:id="4061" w:name="_Toc457245350"/>
      <w:bookmarkStart w:id="4062" w:name="_Toc457245721"/>
      <w:bookmarkStart w:id="4063" w:name="_Toc457246090"/>
      <w:bookmarkStart w:id="4064" w:name="_Toc457246429"/>
      <w:bookmarkStart w:id="4065" w:name="_Toc457288884"/>
      <w:bookmarkStart w:id="4066" w:name="_Toc457290707"/>
      <w:bookmarkStart w:id="4067" w:name="_Toc457399080"/>
      <w:bookmarkStart w:id="4068" w:name="_Toc457458819"/>
      <w:bookmarkStart w:id="4069" w:name="_Toc457468109"/>
      <w:bookmarkStart w:id="4070" w:name="_Toc457483118"/>
      <w:bookmarkStart w:id="4071" w:name="_Toc457483514"/>
      <w:bookmarkStart w:id="4072" w:name="_Toc457506432"/>
      <w:bookmarkStart w:id="4073" w:name="_Toc457512459"/>
      <w:bookmarkStart w:id="4074" w:name="_Toc457242317"/>
      <w:bookmarkStart w:id="4075" w:name="_Toc457242699"/>
      <w:bookmarkStart w:id="4076" w:name="_Toc457243082"/>
      <w:bookmarkStart w:id="4077" w:name="_Toc457243465"/>
      <w:bookmarkStart w:id="4078" w:name="_Toc457243841"/>
      <w:bookmarkStart w:id="4079" w:name="_Toc457244223"/>
      <w:bookmarkStart w:id="4080" w:name="_Toc457244600"/>
      <w:bookmarkStart w:id="4081" w:name="_Toc457244978"/>
      <w:bookmarkStart w:id="4082" w:name="_Toc457245351"/>
      <w:bookmarkStart w:id="4083" w:name="_Toc457245722"/>
      <w:bookmarkStart w:id="4084" w:name="_Toc457246091"/>
      <w:bookmarkStart w:id="4085" w:name="_Toc457246430"/>
      <w:bookmarkStart w:id="4086" w:name="_Toc457288885"/>
      <w:bookmarkStart w:id="4087" w:name="_Toc457290708"/>
      <w:bookmarkStart w:id="4088" w:name="_Toc457399081"/>
      <w:bookmarkStart w:id="4089" w:name="_Toc457458820"/>
      <w:bookmarkStart w:id="4090" w:name="_Toc457468110"/>
      <w:bookmarkStart w:id="4091" w:name="_Toc457483119"/>
      <w:bookmarkStart w:id="4092" w:name="_Toc457483515"/>
      <w:bookmarkStart w:id="4093" w:name="_Toc457506433"/>
      <w:bookmarkStart w:id="4094" w:name="_Toc457512460"/>
      <w:bookmarkStart w:id="4095" w:name="_Toc457242318"/>
      <w:bookmarkStart w:id="4096" w:name="_Toc457242700"/>
      <w:bookmarkStart w:id="4097" w:name="_Toc457243083"/>
      <w:bookmarkStart w:id="4098" w:name="_Toc457243466"/>
      <w:bookmarkStart w:id="4099" w:name="_Toc457243842"/>
      <w:bookmarkStart w:id="4100" w:name="_Toc457244224"/>
      <w:bookmarkStart w:id="4101" w:name="_Toc457244601"/>
      <w:bookmarkStart w:id="4102" w:name="_Toc457244979"/>
      <w:bookmarkStart w:id="4103" w:name="_Toc457245352"/>
      <w:bookmarkStart w:id="4104" w:name="_Toc457245723"/>
      <w:bookmarkStart w:id="4105" w:name="_Toc457246092"/>
      <w:bookmarkStart w:id="4106" w:name="_Toc457246431"/>
      <w:bookmarkStart w:id="4107" w:name="_Toc457288886"/>
      <w:bookmarkStart w:id="4108" w:name="_Toc457290709"/>
      <w:bookmarkStart w:id="4109" w:name="_Toc457399082"/>
      <w:bookmarkStart w:id="4110" w:name="_Toc457458821"/>
      <w:bookmarkStart w:id="4111" w:name="_Toc457468111"/>
      <w:bookmarkStart w:id="4112" w:name="_Toc457483120"/>
      <w:bookmarkStart w:id="4113" w:name="_Toc457483516"/>
      <w:bookmarkStart w:id="4114" w:name="_Toc457506434"/>
      <w:bookmarkStart w:id="4115" w:name="_Toc457512461"/>
      <w:bookmarkStart w:id="4116" w:name="_Toc457242319"/>
      <w:bookmarkStart w:id="4117" w:name="_Toc457242701"/>
      <w:bookmarkStart w:id="4118" w:name="_Toc457243084"/>
      <w:bookmarkStart w:id="4119" w:name="_Toc457243467"/>
      <w:bookmarkStart w:id="4120" w:name="_Toc457243843"/>
      <w:bookmarkStart w:id="4121" w:name="_Toc457244225"/>
      <w:bookmarkStart w:id="4122" w:name="_Toc457244602"/>
      <w:bookmarkStart w:id="4123" w:name="_Toc457244980"/>
      <w:bookmarkStart w:id="4124" w:name="_Toc457245353"/>
      <w:bookmarkStart w:id="4125" w:name="_Toc457245724"/>
      <w:bookmarkStart w:id="4126" w:name="_Toc457246093"/>
      <w:bookmarkStart w:id="4127" w:name="_Toc457246432"/>
      <w:bookmarkStart w:id="4128" w:name="_Toc457288887"/>
      <w:bookmarkStart w:id="4129" w:name="_Toc457290710"/>
      <w:bookmarkStart w:id="4130" w:name="_Toc457399083"/>
      <w:bookmarkStart w:id="4131" w:name="_Toc457458822"/>
      <w:bookmarkStart w:id="4132" w:name="_Toc457468112"/>
      <w:bookmarkStart w:id="4133" w:name="_Toc457483121"/>
      <w:bookmarkStart w:id="4134" w:name="_Toc457483517"/>
      <w:bookmarkStart w:id="4135" w:name="_Toc457506435"/>
      <w:bookmarkStart w:id="4136" w:name="_Toc457512462"/>
      <w:bookmarkStart w:id="4137" w:name="_Toc457242320"/>
      <w:bookmarkStart w:id="4138" w:name="_Toc457242702"/>
      <w:bookmarkStart w:id="4139" w:name="_Toc457243085"/>
      <w:bookmarkStart w:id="4140" w:name="_Toc457243468"/>
      <w:bookmarkStart w:id="4141" w:name="_Toc457243844"/>
      <w:bookmarkStart w:id="4142" w:name="_Toc457244226"/>
      <w:bookmarkStart w:id="4143" w:name="_Toc457244603"/>
      <w:bookmarkStart w:id="4144" w:name="_Toc457244981"/>
      <w:bookmarkStart w:id="4145" w:name="_Toc457245354"/>
      <w:bookmarkStart w:id="4146" w:name="_Toc457245725"/>
      <w:bookmarkStart w:id="4147" w:name="_Toc457246094"/>
      <w:bookmarkStart w:id="4148" w:name="_Toc457246433"/>
      <w:bookmarkStart w:id="4149" w:name="_Toc457288888"/>
      <w:bookmarkStart w:id="4150" w:name="_Toc457290711"/>
      <w:bookmarkStart w:id="4151" w:name="_Toc457399084"/>
      <w:bookmarkStart w:id="4152" w:name="_Toc457458823"/>
      <w:bookmarkStart w:id="4153" w:name="_Toc457468113"/>
      <w:bookmarkStart w:id="4154" w:name="_Toc457483122"/>
      <w:bookmarkStart w:id="4155" w:name="_Toc457483518"/>
      <w:bookmarkStart w:id="4156" w:name="_Toc457506436"/>
      <w:bookmarkStart w:id="4157" w:name="_Toc457512463"/>
      <w:bookmarkStart w:id="4158" w:name="_Toc457242321"/>
      <w:bookmarkStart w:id="4159" w:name="_Toc457242703"/>
      <w:bookmarkStart w:id="4160" w:name="_Toc457243086"/>
      <w:bookmarkStart w:id="4161" w:name="_Toc457243469"/>
      <w:bookmarkStart w:id="4162" w:name="_Toc457243845"/>
      <w:bookmarkStart w:id="4163" w:name="_Toc457244227"/>
      <w:bookmarkStart w:id="4164" w:name="_Toc457244604"/>
      <w:bookmarkStart w:id="4165" w:name="_Toc457244982"/>
      <w:bookmarkStart w:id="4166" w:name="_Toc457245355"/>
      <w:bookmarkStart w:id="4167" w:name="_Toc457245726"/>
      <w:bookmarkStart w:id="4168" w:name="_Toc457246095"/>
      <w:bookmarkStart w:id="4169" w:name="_Toc457246434"/>
      <w:bookmarkStart w:id="4170" w:name="_Toc457288889"/>
      <w:bookmarkStart w:id="4171" w:name="_Toc457290712"/>
      <w:bookmarkStart w:id="4172" w:name="_Toc457399085"/>
      <w:bookmarkStart w:id="4173" w:name="_Toc457458824"/>
      <w:bookmarkStart w:id="4174" w:name="_Toc457468114"/>
      <w:bookmarkStart w:id="4175" w:name="_Toc457483123"/>
      <w:bookmarkStart w:id="4176" w:name="_Toc457483519"/>
      <w:bookmarkStart w:id="4177" w:name="_Toc457506437"/>
      <w:bookmarkStart w:id="4178" w:name="_Toc457512464"/>
      <w:bookmarkStart w:id="4179" w:name="_Toc457242322"/>
      <w:bookmarkStart w:id="4180" w:name="_Toc457242704"/>
      <w:bookmarkStart w:id="4181" w:name="_Toc457243087"/>
      <w:bookmarkStart w:id="4182" w:name="_Toc457243470"/>
      <w:bookmarkStart w:id="4183" w:name="_Toc457243846"/>
      <w:bookmarkStart w:id="4184" w:name="_Toc457244228"/>
      <w:bookmarkStart w:id="4185" w:name="_Toc457244605"/>
      <w:bookmarkStart w:id="4186" w:name="_Toc457244983"/>
      <w:bookmarkStart w:id="4187" w:name="_Toc457245356"/>
      <w:bookmarkStart w:id="4188" w:name="_Toc457245727"/>
      <w:bookmarkStart w:id="4189" w:name="_Toc457246096"/>
      <w:bookmarkStart w:id="4190" w:name="_Toc457246435"/>
      <w:bookmarkStart w:id="4191" w:name="_Toc457288890"/>
      <w:bookmarkStart w:id="4192" w:name="_Toc457290713"/>
      <w:bookmarkStart w:id="4193" w:name="_Toc457399086"/>
      <w:bookmarkStart w:id="4194" w:name="_Toc457458825"/>
      <w:bookmarkStart w:id="4195" w:name="_Toc457468115"/>
      <w:bookmarkStart w:id="4196" w:name="_Toc457483124"/>
      <w:bookmarkStart w:id="4197" w:name="_Toc457483520"/>
      <w:bookmarkStart w:id="4198" w:name="_Toc457506438"/>
      <w:bookmarkStart w:id="4199" w:name="_Toc457512465"/>
      <w:bookmarkStart w:id="4200" w:name="_Toc457242323"/>
      <w:bookmarkStart w:id="4201" w:name="_Toc457242705"/>
      <w:bookmarkStart w:id="4202" w:name="_Toc457243088"/>
      <w:bookmarkStart w:id="4203" w:name="_Toc457243471"/>
      <w:bookmarkStart w:id="4204" w:name="_Toc457243847"/>
      <w:bookmarkStart w:id="4205" w:name="_Toc457244229"/>
      <w:bookmarkStart w:id="4206" w:name="_Toc457244606"/>
      <w:bookmarkStart w:id="4207" w:name="_Toc457244984"/>
      <w:bookmarkStart w:id="4208" w:name="_Toc457245357"/>
      <w:bookmarkStart w:id="4209" w:name="_Toc457245728"/>
      <w:bookmarkStart w:id="4210" w:name="_Toc457246097"/>
      <w:bookmarkStart w:id="4211" w:name="_Toc457246436"/>
      <w:bookmarkStart w:id="4212" w:name="_Toc457288891"/>
      <w:bookmarkStart w:id="4213" w:name="_Toc457290714"/>
      <w:bookmarkStart w:id="4214" w:name="_Toc457399087"/>
      <w:bookmarkStart w:id="4215" w:name="_Toc457458826"/>
      <w:bookmarkStart w:id="4216" w:name="_Toc457468116"/>
      <w:bookmarkStart w:id="4217" w:name="_Toc457483125"/>
      <w:bookmarkStart w:id="4218" w:name="_Toc457483521"/>
      <w:bookmarkStart w:id="4219" w:name="_Toc457506439"/>
      <w:bookmarkStart w:id="4220" w:name="_Toc457512466"/>
      <w:bookmarkStart w:id="4221" w:name="_Toc457242324"/>
      <w:bookmarkStart w:id="4222" w:name="_Toc457242706"/>
      <w:bookmarkStart w:id="4223" w:name="_Toc457243089"/>
      <w:bookmarkStart w:id="4224" w:name="_Toc457243472"/>
      <w:bookmarkStart w:id="4225" w:name="_Toc457243848"/>
      <w:bookmarkStart w:id="4226" w:name="_Toc457244230"/>
      <w:bookmarkStart w:id="4227" w:name="_Toc457244607"/>
      <w:bookmarkStart w:id="4228" w:name="_Toc457244985"/>
      <w:bookmarkStart w:id="4229" w:name="_Toc457245358"/>
      <w:bookmarkStart w:id="4230" w:name="_Toc457245729"/>
      <w:bookmarkStart w:id="4231" w:name="_Toc457246098"/>
      <w:bookmarkStart w:id="4232" w:name="_Toc457246437"/>
      <w:bookmarkStart w:id="4233" w:name="_Toc457288892"/>
      <w:bookmarkStart w:id="4234" w:name="_Toc457290715"/>
      <w:bookmarkStart w:id="4235" w:name="_Toc457399088"/>
      <w:bookmarkStart w:id="4236" w:name="_Toc457458827"/>
      <w:bookmarkStart w:id="4237" w:name="_Toc457468117"/>
      <w:bookmarkStart w:id="4238" w:name="_Toc457483126"/>
      <w:bookmarkStart w:id="4239" w:name="_Toc457483522"/>
      <w:bookmarkStart w:id="4240" w:name="_Toc457506440"/>
      <w:bookmarkStart w:id="4241" w:name="_Toc457512467"/>
      <w:bookmarkStart w:id="4242" w:name="_Toc457242325"/>
      <w:bookmarkStart w:id="4243" w:name="_Toc457242707"/>
      <w:bookmarkStart w:id="4244" w:name="_Toc457243090"/>
      <w:bookmarkStart w:id="4245" w:name="_Toc457243473"/>
      <w:bookmarkStart w:id="4246" w:name="_Toc457243849"/>
      <w:bookmarkStart w:id="4247" w:name="_Toc457244231"/>
      <w:bookmarkStart w:id="4248" w:name="_Toc457244608"/>
      <w:bookmarkStart w:id="4249" w:name="_Toc457244986"/>
      <w:bookmarkStart w:id="4250" w:name="_Toc457245359"/>
      <w:bookmarkStart w:id="4251" w:name="_Toc457245730"/>
      <w:bookmarkStart w:id="4252" w:name="_Toc457246099"/>
      <w:bookmarkStart w:id="4253" w:name="_Toc457246438"/>
      <w:bookmarkStart w:id="4254" w:name="_Toc457288893"/>
      <w:bookmarkStart w:id="4255" w:name="_Toc457290716"/>
      <w:bookmarkStart w:id="4256" w:name="_Toc457399089"/>
      <w:bookmarkStart w:id="4257" w:name="_Toc457458828"/>
      <w:bookmarkStart w:id="4258" w:name="_Toc457468118"/>
      <w:bookmarkStart w:id="4259" w:name="_Toc457483127"/>
      <w:bookmarkStart w:id="4260" w:name="_Toc457483523"/>
      <w:bookmarkStart w:id="4261" w:name="_Toc457506441"/>
      <w:bookmarkStart w:id="4262" w:name="_Toc457512468"/>
      <w:bookmarkStart w:id="4263" w:name="_Toc457242326"/>
      <w:bookmarkStart w:id="4264" w:name="_Toc457242708"/>
      <w:bookmarkStart w:id="4265" w:name="_Toc457243091"/>
      <w:bookmarkStart w:id="4266" w:name="_Toc457243474"/>
      <w:bookmarkStart w:id="4267" w:name="_Toc457243850"/>
      <w:bookmarkStart w:id="4268" w:name="_Toc457244232"/>
      <w:bookmarkStart w:id="4269" w:name="_Toc457244609"/>
      <w:bookmarkStart w:id="4270" w:name="_Toc457244987"/>
      <w:bookmarkStart w:id="4271" w:name="_Toc457245360"/>
      <w:bookmarkStart w:id="4272" w:name="_Toc457245731"/>
      <w:bookmarkStart w:id="4273" w:name="_Toc457246100"/>
      <w:bookmarkStart w:id="4274" w:name="_Toc457246439"/>
      <w:bookmarkStart w:id="4275" w:name="_Toc457288894"/>
      <w:bookmarkStart w:id="4276" w:name="_Toc457290717"/>
      <w:bookmarkStart w:id="4277" w:name="_Toc457399090"/>
      <w:bookmarkStart w:id="4278" w:name="_Toc457458829"/>
      <w:bookmarkStart w:id="4279" w:name="_Toc457468119"/>
      <w:bookmarkStart w:id="4280" w:name="_Toc457483128"/>
      <w:bookmarkStart w:id="4281" w:name="_Toc457483524"/>
      <w:bookmarkStart w:id="4282" w:name="_Toc457506442"/>
      <w:bookmarkStart w:id="4283" w:name="_Toc457512469"/>
      <w:bookmarkStart w:id="4284" w:name="_Toc457242327"/>
      <w:bookmarkStart w:id="4285" w:name="_Toc457242709"/>
      <w:bookmarkStart w:id="4286" w:name="_Toc457243092"/>
      <w:bookmarkStart w:id="4287" w:name="_Toc457243475"/>
      <w:bookmarkStart w:id="4288" w:name="_Toc457243851"/>
      <w:bookmarkStart w:id="4289" w:name="_Toc457244233"/>
      <w:bookmarkStart w:id="4290" w:name="_Toc457244610"/>
      <w:bookmarkStart w:id="4291" w:name="_Toc457244988"/>
      <w:bookmarkStart w:id="4292" w:name="_Toc457245361"/>
      <w:bookmarkStart w:id="4293" w:name="_Toc457245732"/>
      <w:bookmarkStart w:id="4294" w:name="_Toc457246101"/>
      <w:bookmarkStart w:id="4295" w:name="_Toc457246440"/>
      <w:bookmarkStart w:id="4296" w:name="_Toc457288895"/>
      <w:bookmarkStart w:id="4297" w:name="_Toc457290718"/>
      <w:bookmarkStart w:id="4298" w:name="_Toc457399091"/>
      <w:bookmarkStart w:id="4299" w:name="_Toc457458830"/>
      <w:bookmarkStart w:id="4300" w:name="_Toc457468120"/>
      <w:bookmarkStart w:id="4301" w:name="_Toc457483129"/>
      <w:bookmarkStart w:id="4302" w:name="_Toc457483525"/>
      <w:bookmarkStart w:id="4303" w:name="_Toc457506443"/>
      <w:bookmarkStart w:id="4304" w:name="_Toc457512470"/>
      <w:bookmarkStart w:id="4305" w:name="_Toc457242328"/>
      <w:bookmarkStart w:id="4306" w:name="_Toc457242710"/>
      <w:bookmarkStart w:id="4307" w:name="_Toc457243093"/>
      <w:bookmarkStart w:id="4308" w:name="_Toc457243476"/>
      <w:bookmarkStart w:id="4309" w:name="_Toc457243852"/>
      <w:bookmarkStart w:id="4310" w:name="_Toc457244234"/>
      <w:bookmarkStart w:id="4311" w:name="_Toc457244611"/>
      <w:bookmarkStart w:id="4312" w:name="_Toc457244989"/>
      <w:bookmarkStart w:id="4313" w:name="_Toc457245362"/>
      <w:bookmarkStart w:id="4314" w:name="_Toc457245733"/>
      <w:bookmarkStart w:id="4315" w:name="_Toc457246102"/>
      <w:bookmarkStart w:id="4316" w:name="_Toc457246441"/>
      <w:bookmarkStart w:id="4317" w:name="_Toc457288896"/>
      <w:bookmarkStart w:id="4318" w:name="_Toc457290719"/>
      <w:bookmarkStart w:id="4319" w:name="_Toc457399092"/>
      <w:bookmarkStart w:id="4320" w:name="_Toc457458831"/>
      <w:bookmarkStart w:id="4321" w:name="_Toc457468121"/>
      <w:bookmarkStart w:id="4322" w:name="_Toc457483130"/>
      <w:bookmarkStart w:id="4323" w:name="_Toc457483526"/>
      <w:bookmarkStart w:id="4324" w:name="_Toc457506444"/>
      <w:bookmarkStart w:id="4325" w:name="_Toc457512471"/>
      <w:bookmarkStart w:id="4326" w:name="_Toc457242329"/>
      <w:bookmarkStart w:id="4327" w:name="_Toc457242711"/>
      <w:bookmarkStart w:id="4328" w:name="_Toc457243094"/>
      <w:bookmarkStart w:id="4329" w:name="_Toc457243477"/>
      <w:bookmarkStart w:id="4330" w:name="_Toc457243853"/>
      <w:bookmarkStart w:id="4331" w:name="_Toc457244235"/>
      <w:bookmarkStart w:id="4332" w:name="_Toc457244612"/>
      <w:bookmarkStart w:id="4333" w:name="_Toc457244990"/>
      <w:bookmarkStart w:id="4334" w:name="_Toc457245363"/>
      <w:bookmarkStart w:id="4335" w:name="_Toc457245734"/>
      <w:bookmarkStart w:id="4336" w:name="_Toc457246103"/>
      <w:bookmarkStart w:id="4337" w:name="_Toc457246442"/>
      <w:bookmarkStart w:id="4338" w:name="_Toc457288897"/>
      <w:bookmarkStart w:id="4339" w:name="_Toc457290720"/>
      <w:bookmarkStart w:id="4340" w:name="_Toc457399093"/>
      <w:bookmarkStart w:id="4341" w:name="_Toc457458832"/>
      <w:bookmarkStart w:id="4342" w:name="_Toc457468122"/>
      <w:bookmarkStart w:id="4343" w:name="_Toc457483131"/>
      <w:bookmarkStart w:id="4344" w:name="_Toc457483527"/>
      <w:bookmarkStart w:id="4345" w:name="_Toc457506445"/>
      <w:bookmarkStart w:id="4346" w:name="_Toc457512472"/>
      <w:bookmarkStart w:id="4347" w:name="_Toc457242330"/>
      <w:bookmarkStart w:id="4348" w:name="_Toc457242712"/>
      <w:bookmarkStart w:id="4349" w:name="_Toc457243095"/>
      <w:bookmarkStart w:id="4350" w:name="_Toc457243478"/>
      <w:bookmarkStart w:id="4351" w:name="_Toc457243854"/>
      <w:bookmarkStart w:id="4352" w:name="_Toc457244236"/>
      <w:bookmarkStart w:id="4353" w:name="_Toc457244613"/>
      <w:bookmarkStart w:id="4354" w:name="_Toc457244991"/>
      <w:bookmarkStart w:id="4355" w:name="_Toc457245364"/>
      <w:bookmarkStart w:id="4356" w:name="_Toc457245735"/>
      <w:bookmarkStart w:id="4357" w:name="_Toc457246104"/>
      <w:bookmarkStart w:id="4358" w:name="_Toc457246443"/>
      <w:bookmarkStart w:id="4359" w:name="_Toc457288898"/>
      <w:bookmarkStart w:id="4360" w:name="_Toc457290721"/>
      <w:bookmarkStart w:id="4361" w:name="_Toc457399094"/>
      <w:bookmarkStart w:id="4362" w:name="_Toc457458833"/>
      <w:bookmarkStart w:id="4363" w:name="_Toc457468123"/>
      <w:bookmarkStart w:id="4364" w:name="_Toc457483132"/>
      <w:bookmarkStart w:id="4365" w:name="_Toc457483528"/>
      <w:bookmarkStart w:id="4366" w:name="_Toc457506446"/>
      <w:bookmarkStart w:id="4367" w:name="_Toc457512473"/>
      <w:bookmarkStart w:id="4368" w:name="_Toc457242331"/>
      <w:bookmarkStart w:id="4369" w:name="_Toc457242713"/>
      <w:bookmarkStart w:id="4370" w:name="_Toc457243096"/>
      <w:bookmarkStart w:id="4371" w:name="_Toc457243479"/>
      <w:bookmarkStart w:id="4372" w:name="_Toc457243855"/>
      <w:bookmarkStart w:id="4373" w:name="_Toc457244237"/>
      <w:bookmarkStart w:id="4374" w:name="_Toc457244614"/>
      <w:bookmarkStart w:id="4375" w:name="_Toc457244992"/>
      <w:bookmarkStart w:id="4376" w:name="_Toc457245365"/>
      <w:bookmarkStart w:id="4377" w:name="_Toc457245736"/>
      <w:bookmarkStart w:id="4378" w:name="_Toc457246105"/>
      <w:bookmarkStart w:id="4379" w:name="_Toc457246444"/>
      <w:bookmarkStart w:id="4380" w:name="_Toc457288899"/>
      <w:bookmarkStart w:id="4381" w:name="_Toc457290722"/>
      <w:bookmarkStart w:id="4382" w:name="_Toc457399095"/>
      <w:bookmarkStart w:id="4383" w:name="_Toc457458834"/>
      <w:bookmarkStart w:id="4384" w:name="_Toc457468124"/>
      <w:bookmarkStart w:id="4385" w:name="_Toc457483133"/>
      <w:bookmarkStart w:id="4386" w:name="_Toc457483529"/>
      <w:bookmarkStart w:id="4387" w:name="_Toc457506447"/>
      <w:bookmarkStart w:id="4388" w:name="_Toc457512474"/>
      <w:bookmarkStart w:id="4389" w:name="_Toc457242332"/>
      <w:bookmarkStart w:id="4390" w:name="_Toc457242714"/>
      <w:bookmarkStart w:id="4391" w:name="_Toc457243097"/>
      <w:bookmarkStart w:id="4392" w:name="_Toc457243480"/>
      <w:bookmarkStart w:id="4393" w:name="_Toc457243856"/>
      <w:bookmarkStart w:id="4394" w:name="_Toc457244238"/>
      <w:bookmarkStart w:id="4395" w:name="_Toc457244615"/>
      <w:bookmarkStart w:id="4396" w:name="_Toc457244993"/>
      <w:bookmarkStart w:id="4397" w:name="_Toc457245366"/>
      <w:bookmarkStart w:id="4398" w:name="_Toc457245737"/>
      <w:bookmarkStart w:id="4399" w:name="_Toc457246106"/>
      <w:bookmarkStart w:id="4400" w:name="_Toc457246445"/>
      <w:bookmarkStart w:id="4401" w:name="_Toc457288900"/>
      <w:bookmarkStart w:id="4402" w:name="_Toc457290723"/>
      <w:bookmarkStart w:id="4403" w:name="_Toc457399096"/>
      <w:bookmarkStart w:id="4404" w:name="_Toc457458835"/>
      <w:bookmarkStart w:id="4405" w:name="_Toc457468125"/>
      <w:bookmarkStart w:id="4406" w:name="_Toc457483134"/>
      <w:bookmarkStart w:id="4407" w:name="_Toc457483530"/>
      <w:bookmarkStart w:id="4408" w:name="_Toc457506448"/>
      <w:bookmarkStart w:id="4409" w:name="_Toc457512475"/>
      <w:bookmarkStart w:id="4410" w:name="_Toc457242333"/>
      <w:bookmarkStart w:id="4411" w:name="_Toc457242715"/>
      <w:bookmarkStart w:id="4412" w:name="_Toc457243098"/>
      <w:bookmarkStart w:id="4413" w:name="_Toc457243481"/>
      <w:bookmarkStart w:id="4414" w:name="_Toc457243857"/>
      <w:bookmarkStart w:id="4415" w:name="_Toc457244239"/>
      <w:bookmarkStart w:id="4416" w:name="_Toc457244616"/>
      <w:bookmarkStart w:id="4417" w:name="_Toc457244994"/>
      <w:bookmarkStart w:id="4418" w:name="_Toc457245367"/>
      <w:bookmarkStart w:id="4419" w:name="_Toc457245738"/>
      <w:bookmarkStart w:id="4420" w:name="_Toc457246107"/>
      <w:bookmarkStart w:id="4421" w:name="_Toc457246446"/>
      <w:bookmarkStart w:id="4422" w:name="_Toc457288901"/>
      <w:bookmarkStart w:id="4423" w:name="_Toc457290724"/>
      <w:bookmarkStart w:id="4424" w:name="_Toc457399097"/>
      <w:bookmarkStart w:id="4425" w:name="_Toc457458836"/>
      <w:bookmarkStart w:id="4426" w:name="_Toc457468126"/>
      <w:bookmarkStart w:id="4427" w:name="_Toc457483135"/>
      <w:bookmarkStart w:id="4428" w:name="_Toc457483531"/>
      <w:bookmarkStart w:id="4429" w:name="_Toc457506449"/>
      <w:bookmarkStart w:id="4430" w:name="_Toc457512476"/>
      <w:bookmarkStart w:id="4431" w:name="_Toc457242334"/>
      <w:bookmarkStart w:id="4432" w:name="_Toc457242716"/>
      <w:bookmarkStart w:id="4433" w:name="_Toc457243099"/>
      <w:bookmarkStart w:id="4434" w:name="_Toc457243482"/>
      <w:bookmarkStart w:id="4435" w:name="_Toc457243858"/>
      <w:bookmarkStart w:id="4436" w:name="_Toc457244240"/>
      <w:bookmarkStart w:id="4437" w:name="_Toc457244617"/>
      <w:bookmarkStart w:id="4438" w:name="_Toc457244995"/>
      <w:bookmarkStart w:id="4439" w:name="_Toc457245368"/>
      <w:bookmarkStart w:id="4440" w:name="_Toc457245739"/>
      <w:bookmarkStart w:id="4441" w:name="_Toc457246108"/>
      <w:bookmarkStart w:id="4442" w:name="_Toc457246447"/>
      <w:bookmarkStart w:id="4443" w:name="_Toc457288902"/>
      <w:bookmarkStart w:id="4444" w:name="_Toc457290725"/>
      <w:bookmarkStart w:id="4445" w:name="_Toc457399098"/>
      <w:bookmarkStart w:id="4446" w:name="_Toc457458837"/>
      <w:bookmarkStart w:id="4447" w:name="_Toc457468127"/>
      <w:bookmarkStart w:id="4448" w:name="_Toc457483136"/>
      <w:bookmarkStart w:id="4449" w:name="_Toc457483532"/>
      <w:bookmarkStart w:id="4450" w:name="_Toc457506450"/>
      <w:bookmarkStart w:id="4451" w:name="_Toc457512477"/>
      <w:bookmarkStart w:id="4452" w:name="_Toc457242335"/>
      <w:bookmarkStart w:id="4453" w:name="_Toc457242717"/>
      <w:bookmarkStart w:id="4454" w:name="_Toc457243100"/>
      <w:bookmarkStart w:id="4455" w:name="_Toc457243483"/>
      <w:bookmarkStart w:id="4456" w:name="_Toc457243859"/>
      <w:bookmarkStart w:id="4457" w:name="_Toc457244241"/>
      <w:bookmarkStart w:id="4458" w:name="_Toc457244618"/>
      <w:bookmarkStart w:id="4459" w:name="_Toc457244996"/>
      <w:bookmarkStart w:id="4460" w:name="_Toc457245369"/>
      <w:bookmarkStart w:id="4461" w:name="_Toc457245740"/>
      <w:bookmarkStart w:id="4462" w:name="_Toc457246109"/>
      <w:bookmarkStart w:id="4463" w:name="_Toc457246448"/>
      <w:bookmarkStart w:id="4464" w:name="_Toc457288903"/>
      <w:bookmarkStart w:id="4465" w:name="_Toc457290726"/>
      <w:bookmarkStart w:id="4466" w:name="_Toc457399099"/>
      <w:bookmarkStart w:id="4467" w:name="_Toc457458838"/>
      <w:bookmarkStart w:id="4468" w:name="_Toc457468128"/>
      <w:bookmarkStart w:id="4469" w:name="_Toc457483137"/>
      <w:bookmarkStart w:id="4470" w:name="_Toc457483533"/>
      <w:bookmarkStart w:id="4471" w:name="_Toc457506451"/>
      <w:bookmarkStart w:id="4472" w:name="_Toc457512478"/>
      <w:bookmarkStart w:id="4473" w:name="_Toc457242336"/>
      <w:bookmarkStart w:id="4474" w:name="_Toc457242718"/>
      <w:bookmarkStart w:id="4475" w:name="_Toc457243101"/>
      <w:bookmarkStart w:id="4476" w:name="_Toc457243484"/>
      <w:bookmarkStart w:id="4477" w:name="_Toc457243860"/>
      <w:bookmarkStart w:id="4478" w:name="_Toc457244242"/>
      <w:bookmarkStart w:id="4479" w:name="_Toc457244619"/>
      <w:bookmarkStart w:id="4480" w:name="_Toc457244997"/>
      <w:bookmarkStart w:id="4481" w:name="_Toc457245370"/>
      <w:bookmarkStart w:id="4482" w:name="_Toc457245741"/>
      <w:bookmarkStart w:id="4483" w:name="_Toc457246110"/>
      <w:bookmarkStart w:id="4484" w:name="_Toc457246449"/>
      <w:bookmarkStart w:id="4485" w:name="_Toc457288904"/>
      <w:bookmarkStart w:id="4486" w:name="_Toc457290727"/>
      <w:bookmarkStart w:id="4487" w:name="_Toc457399100"/>
      <w:bookmarkStart w:id="4488" w:name="_Toc457458839"/>
      <w:bookmarkStart w:id="4489" w:name="_Toc457468129"/>
      <w:bookmarkStart w:id="4490" w:name="_Toc457483138"/>
      <w:bookmarkStart w:id="4491" w:name="_Toc457483534"/>
      <w:bookmarkStart w:id="4492" w:name="_Toc457506452"/>
      <w:bookmarkStart w:id="4493" w:name="_Toc457512479"/>
      <w:bookmarkStart w:id="4494" w:name="_Toc457242337"/>
      <w:bookmarkStart w:id="4495" w:name="_Toc457242719"/>
      <w:bookmarkStart w:id="4496" w:name="_Toc457243102"/>
      <w:bookmarkStart w:id="4497" w:name="_Toc457243485"/>
      <w:bookmarkStart w:id="4498" w:name="_Toc457243861"/>
      <w:bookmarkStart w:id="4499" w:name="_Toc457244243"/>
      <w:bookmarkStart w:id="4500" w:name="_Toc457244620"/>
      <w:bookmarkStart w:id="4501" w:name="_Toc457244998"/>
      <w:bookmarkStart w:id="4502" w:name="_Toc457245371"/>
      <w:bookmarkStart w:id="4503" w:name="_Toc457245742"/>
      <w:bookmarkStart w:id="4504" w:name="_Toc457246111"/>
      <w:bookmarkStart w:id="4505" w:name="_Toc457246450"/>
      <w:bookmarkStart w:id="4506" w:name="_Toc457288905"/>
      <w:bookmarkStart w:id="4507" w:name="_Toc457290728"/>
      <w:bookmarkStart w:id="4508" w:name="_Toc457399101"/>
      <w:bookmarkStart w:id="4509" w:name="_Toc457458840"/>
      <w:bookmarkStart w:id="4510" w:name="_Toc457468130"/>
      <w:bookmarkStart w:id="4511" w:name="_Toc457483139"/>
      <w:bookmarkStart w:id="4512" w:name="_Toc457483535"/>
      <w:bookmarkStart w:id="4513" w:name="_Toc457506453"/>
      <w:bookmarkStart w:id="4514" w:name="_Toc457512480"/>
      <w:bookmarkStart w:id="4515" w:name="_Toc457242338"/>
      <w:bookmarkStart w:id="4516" w:name="_Toc457242720"/>
      <w:bookmarkStart w:id="4517" w:name="_Toc457243103"/>
      <w:bookmarkStart w:id="4518" w:name="_Toc457243486"/>
      <w:bookmarkStart w:id="4519" w:name="_Toc457243862"/>
      <w:bookmarkStart w:id="4520" w:name="_Toc457244244"/>
      <w:bookmarkStart w:id="4521" w:name="_Toc457244621"/>
      <w:bookmarkStart w:id="4522" w:name="_Toc457244999"/>
      <w:bookmarkStart w:id="4523" w:name="_Toc457245372"/>
      <w:bookmarkStart w:id="4524" w:name="_Toc457245743"/>
      <w:bookmarkStart w:id="4525" w:name="_Toc457246112"/>
      <w:bookmarkStart w:id="4526" w:name="_Toc457246451"/>
      <w:bookmarkStart w:id="4527" w:name="_Toc457288906"/>
      <w:bookmarkStart w:id="4528" w:name="_Toc457290729"/>
      <w:bookmarkStart w:id="4529" w:name="_Toc457399102"/>
      <w:bookmarkStart w:id="4530" w:name="_Toc457458841"/>
      <w:bookmarkStart w:id="4531" w:name="_Toc457468131"/>
      <w:bookmarkStart w:id="4532" w:name="_Toc457483140"/>
      <w:bookmarkStart w:id="4533" w:name="_Toc457483536"/>
      <w:bookmarkStart w:id="4534" w:name="_Toc457506454"/>
      <w:bookmarkStart w:id="4535" w:name="_Toc457512481"/>
      <w:bookmarkStart w:id="4536" w:name="_Toc457242339"/>
      <w:bookmarkStart w:id="4537" w:name="_Toc457242721"/>
      <w:bookmarkStart w:id="4538" w:name="_Toc457243104"/>
      <w:bookmarkStart w:id="4539" w:name="_Toc457243487"/>
      <w:bookmarkStart w:id="4540" w:name="_Toc457243863"/>
      <w:bookmarkStart w:id="4541" w:name="_Toc457244245"/>
      <w:bookmarkStart w:id="4542" w:name="_Toc457244622"/>
      <w:bookmarkStart w:id="4543" w:name="_Toc457245000"/>
      <w:bookmarkStart w:id="4544" w:name="_Toc457245373"/>
      <w:bookmarkStart w:id="4545" w:name="_Toc457245744"/>
      <w:bookmarkStart w:id="4546" w:name="_Toc457246113"/>
      <w:bookmarkStart w:id="4547" w:name="_Toc457246452"/>
      <w:bookmarkStart w:id="4548" w:name="_Toc457288907"/>
      <w:bookmarkStart w:id="4549" w:name="_Toc457290730"/>
      <w:bookmarkStart w:id="4550" w:name="_Toc457399103"/>
      <w:bookmarkStart w:id="4551" w:name="_Toc457458842"/>
      <w:bookmarkStart w:id="4552" w:name="_Toc457468132"/>
      <w:bookmarkStart w:id="4553" w:name="_Toc457483141"/>
      <w:bookmarkStart w:id="4554" w:name="_Toc457483537"/>
      <w:bookmarkStart w:id="4555" w:name="_Toc457506455"/>
      <w:bookmarkStart w:id="4556" w:name="_Toc457512482"/>
      <w:bookmarkStart w:id="4557" w:name="_Toc457242340"/>
      <w:bookmarkStart w:id="4558" w:name="_Toc457242722"/>
      <w:bookmarkStart w:id="4559" w:name="_Toc457243105"/>
      <w:bookmarkStart w:id="4560" w:name="_Toc457243488"/>
      <w:bookmarkStart w:id="4561" w:name="_Toc457243864"/>
      <w:bookmarkStart w:id="4562" w:name="_Toc457244246"/>
      <w:bookmarkStart w:id="4563" w:name="_Toc457244623"/>
      <w:bookmarkStart w:id="4564" w:name="_Toc457245001"/>
      <w:bookmarkStart w:id="4565" w:name="_Toc457245374"/>
      <w:bookmarkStart w:id="4566" w:name="_Toc457245745"/>
      <w:bookmarkStart w:id="4567" w:name="_Toc457246114"/>
      <w:bookmarkStart w:id="4568" w:name="_Toc457246453"/>
      <w:bookmarkStart w:id="4569" w:name="_Toc457288908"/>
      <w:bookmarkStart w:id="4570" w:name="_Toc457290731"/>
      <w:bookmarkStart w:id="4571" w:name="_Toc457399104"/>
      <w:bookmarkStart w:id="4572" w:name="_Toc457458843"/>
      <w:bookmarkStart w:id="4573" w:name="_Toc457468133"/>
      <w:bookmarkStart w:id="4574" w:name="_Toc457483142"/>
      <w:bookmarkStart w:id="4575" w:name="_Toc457483538"/>
      <w:bookmarkStart w:id="4576" w:name="_Toc457506456"/>
      <w:bookmarkStart w:id="4577" w:name="_Toc457512483"/>
      <w:bookmarkStart w:id="4578" w:name="_Toc457242341"/>
      <w:bookmarkStart w:id="4579" w:name="_Toc457242723"/>
      <w:bookmarkStart w:id="4580" w:name="_Toc457243106"/>
      <w:bookmarkStart w:id="4581" w:name="_Toc457243489"/>
      <w:bookmarkStart w:id="4582" w:name="_Toc457243865"/>
      <w:bookmarkStart w:id="4583" w:name="_Toc457244247"/>
      <w:bookmarkStart w:id="4584" w:name="_Toc457244624"/>
      <w:bookmarkStart w:id="4585" w:name="_Toc457245002"/>
      <w:bookmarkStart w:id="4586" w:name="_Toc457245375"/>
      <w:bookmarkStart w:id="4587" w:name="_Toc457245746"/>
      <w:bookmarkStart w:id="4588" w:name="_Toc457246115"/>
      <w:bookmarkStart w:id="4589" w:name="_Toc457246454"/>
      <w:bookmarkStart w:id="4590" w:name="_Toc457288909"/>
      <w:bookmarkStart w:id="4591" w:name="_Toc457290732"/>
      <w:bookmarkStart w:id="4592" w:name="_Toc457399105"/>
      <w:bookmarkStart w:id="4593" w:name="_Toc457458844"/>
      <w:bookmarkStart w:id="4594" w:name="_Toc457468134"/>
      <w:bookmarkStart w:id="4595" w:name="_Toc457483143"/>
      <w:bookmarkStart w:id="4596" w:name="_Toc457483539"/>
      <w:bookmarkStart w:id="4597" w:name="_Toc457506457"/>
      <w:bookmarkStart w:id="4598" w:name="_Toc457512484"/>
      <w:bookmarkStart w:id="4599" w:name="_Toc457242724"/>
      <w:bookmarkStart w:id="4600" w:name="_Toc457243107"/>
      <w:bookmarkStart w:id="4601" w:name="_Toc457243490"/>
      <w:bookmarkStart w:id="4602" w:name="_Toc457243866"/>
      <w:bookmarkStart w:id="4603" w:name="_Toc457244248"/>
      <w:bookmarkStart w:id="4604" w:name="_Toc457244625"/>
      <w:bookmarkStart w:id="4605" w:name="_Toc457245003"/>
      <w:bookmarkStart w:id="4606" w:name="_Toc457245376"/>
      <w:bookmarkStart w:id="4607" w:name="_Toc457245747"/>
      <w:bookmarkStart w:id="4608" w:name="_Toc457246116"/>
      <w:bookmarkStart w:id="4609" w:name="_Toc457246455"/>
      <w:bookmarkStart w:id="4610" w:name="_Toc457288910"/>
      <w:bookmarkStart w:id="4611" w:name="_Toc457290733"/>
      <w:bookmarkStart w:id="4612" w:name="_Toc457399106"/>
      <w:bookmarkStart w:id="4613" w:name="_Toc457458845"/>
      <w:bookmarkStart w:id="4614" w:name="_Toc457468135"/>
      <w:bookmarkStart w:id="4615" w:name="_Toc457483144"/>
      <w:bookmarkStart w:id="4616" w:name="_Toc457483540"/>
      <w:bookmarkStart w:id="4617" w:name="_Toc457506458"/>
      <w:bookmarkStart w:id="4618" w:name="_Toc457512485"/>
      <w:bookmarkStart w:id="4619" w:name="_Toc460257524"/>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r>
        <w:lastRenderedPageBreak/>
        <w:t>CONCLUSION</w:t>
      </w:r>
      <w:bookmarkEnd w:id="4619"/>
      <w:r>
        <w:t xml:space="preserve"> </w:t>
      </w:r>
    </w:p>
    <w:p w14:paraId="4DD7AF2C" w14:textId="2492C629" w:rsidR="00CD5879" w:rsidRDefault="00CD5879" w:rsidP="00CD5879">
      <w:r>
        <w:t>The work of the Taskforce has confirmed that older people are a diverse group</w:t>
      </w:r>
      <w:r w:rsidR="000B0951">
        <w:t xml:space="preserve">, the majority of which </w:t>
      </w:r>
      <w:r>
        <w:t>want to age in place</w:t>
      </w:r>
      <w:r w:rsidR="000B0951">
        <w:t>,</w:t>
      </w:r>
      <w:r>
        <w:t xml:space="preserve"> and live independently within their communities. The Taskforce has delivered recommendations that it believes will improve housing options and support for older Queenslanders both now and into the future. </w:t>
      </w:r>
    </w:p>
    <w:p w14:paraId="40E6D4CE" w14:textId="77777777" w:rsidR="00CD5879" w:rsidRDefault="00CD5879" w:rsidP="00CD5879">
      <w:r>
        <w:t>The delivery of the recommendations will require the ongoing commitment of all levels of government, industry, the non-government sector, academia and the wider community to form new and innovative partnerships.</w:t>
      </w:r>
    </w:p>
    <w:p w14:paraId="03A8C40F" w14:textId="78DFB0CD" w:rsidR="00CD5879" w:rsidRDefault="00CD5879" w:rsidP="00CD5879">
      <w:r>
        <w:t>The Taskforce reiterates the importance of ensuring that the development of housing options and initiatives recognise older people’s desire for independence and empowered decision-making</w:t>
      </w:r>
      <w:r w:rsidR="002C749D">
        <w:t>,</w:t>
      </w:r>
      <w:r>
        <w:t xml:space="preserve"> maint</w:t>
      </w:r>
      <w:r w:rsidR="002C749D">
        <w:t>enance of</w:t>
      </w:r>
      <w:r>
        <w:t xml:space="preserve"> strong social and cultural links and </w:t>
      </w:r>
      <w:r w:rsidR="002C749D">
        <w:t>connections</w:t>
      </w:r>
      <w:r>
        <w:t xml:space="preserve"> to their communities. </w:t>
      </w:r>
    </w:p>
    <w:p w14:paraId="598CBD1E" w14:textId="2DB6A671" w:rsidR="00CD5879" w:rsidRDefault="00CD5879" w:rsidP="00CD5879">
      <w:r>
        <w:t xml:space="preserve">The Taskforce believes that the findings and recommendations </w:t>
      </w:r>
      <w:r w:rsidR="002C749D">
        <w:t xml:space="preserve">in this report </w:t>
      </w:r>
      <w:r>
        <w:t xml:space="preserve">have fulfilled the </w:t>
      </w:r>
      <w:r w:rsidR="000B3FB6">
        <w:t>request</w:t>
      </w:r>
      <w:r>
        <w:t xml:space="preserve"> to advise the Queensland Government on affordable and simpler housing models and other initiatives to support older Queenslanders to retain their independence as they age and control how and where they live in an age-friendly society. </w:t>
      </w:r>
    </w:p>
    <w:p w14:paraId="206A1004" w14:textId="77777777" w:rsidR="000D18B4" w:rsidRDefault="000D18B4" w:rsidP="000D18B4">
      <w:r>
        <w:br w:type="page"/>
      </w:r>
    </w:p>
    <w:p w14:paraId="1FF51AD5" w14:textId="28954EC8" w:rsidR="000D18B4" w:rsidRPr="00A82408" w:rsidRDefault="000D18B4" w:rsidP="000D18B4">
      <w:pPr>
        <w:pStyle w:val="Heading"/>
      </w:pPr>
      <w:bookmarkStart w:id="4620" w:name="_Toc460257525"/>
      <w:r w:rsidRPr="00A82408">
        <w:lastRenderedPageBreak/>
        <w:t>BIBLIOGRAPHY</w:t>
      </w:r>
      <w:bookmarkEnd w:id="4620"/>
      <w:r w:rsidRPr="00A82408">
        <w:t xml:space="preserve"> </w:t>
      </w:r>
    </w:p>
    <w:p w14:paraId="19132BC2" w14:textId="77777777" w:rsidR="000D18B4" w:rsidRDefault="000D18B4" w:rsidP="000D18B4">
      <w:pPr>
        <w:pStyle w:val="FootnoteText"/>
        <w:rPr>
          <w:rFonts w:ascii="Arial" w:hAnsi="Arial" w:cs="Arial"/>
        </w:rPr>
      </w:pPr>
    </w:p>
    <w:p w14:paraId="69367272"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Aged and Community Services Australia (2016) </w:t>
      </w:r>
      <w:r>
        <w:rPr>
          <w:rFonts w:ascii="Arial" w:hAnsi="Arial" w:cs="Arial"/>
          <w:i/>
          <w:sz w:val="20"/>
          <w:szCs w:val="20"/>
        </w:rPr>
        <w:t>The Future of Housing for Older Australians: Position Paper</w:t>
      </w:r>
      <w:r>
        <w:rPr>
          <w:rFonts w:ascii="Arial" w:hAnsi="Arial" w:cs="Arial"/>
          <w:sz w:val="20"/>
          <w:szCs w:val="20"/>
        </w:rPr>
        <w:t xml:space="preserve">, Deakin, ACT: Aged and Community Services Australia, Retrieved from </w:t>
      </w:r>
      <w:hyperlink r:id="rId21" w:history="1">
        <w:r w:rsidRPr="00E56F45">
          <w:rPr>
            <w:rStyle w:val="Hyperlink"/>
            <w:rFonts w:ascii="Arial" w:hAnsi="Arial" w:cs="Arial"/>
            <w:sz w:val="20"/>
            <w:szCs w:val="20"/>
          </w:rPr>
          <w:t>www.agedcare.org.au/news/copy_of_2014-news/acsa-position-paper-the-future-of-housing-for-older-australians/view</w:t>
        </w:r>
      </w:hyperlink>
      <w:r>
        <w:rPr>
          <w:rFonts w:ascii="Arial" w:hAnsi="Arial" w:cs="Arial"/>
          <w:sz w:val="20"/>
          <w:szCs w:val="20"/>
        </w:rPr>
        <w:t xml:space="preserve"> </w:t>
      </w:r>
    </w:p>
    <w:p w14:paraId="68D16B89" w14:textId="77777777" w:rsidR="00721003" w:rsidRDefault="00721003" w:rsidP="00721003">
      <w:pPr>
        <w:spacing w:after="0"/>
        <w:rPr>
          <w:rFonts w:ascii="Arial" w:hAnsi="Arial" w:cs="Arial"/>
          <w:sz w:val="20"/>
          <w:szCs w:val="20"/>
        </w:rPr>
      </w:pPr>
    </w:p>
    <w:p w14:paraId="451744BB" w14:textId="77777777" w:rsidR="00721003" w:rsidRDefault="00721003" w:rsidP="00721003">
      <w:pPr>
        <w:spacing w:after="0"/>
        <w:rPr>
          <w:rFonts w:ascii="Arial" w:hAnsi="Arial" w:cs="Arial"/>
          <w:sz w:val="20"/>
          <w:szCs w:val="20"/>
        </w:rPr>
      </w:pPr>
      <w:r>
        <w:rPr>
          <w:rFonts w:ascii="Arial" w:hAnsi="Arial" w:cs="Arial"/>
          <w:sz w:val="20"/>
          <w:szCs w:val="20"/>
        </w:rPr>
        <w:t xml:space="preserve">Australian Bureau of Statistics (2011) </w:t>
      </w:r>
      <w:r>
        <w:rPr>
          <w:rFonts w:ascii="Arial" w:hAnsi="Arial" w:cs="Arial"/>
          <w:i/>
          <w:sz w:val="20"/>
          <w:szCs w:val="20"/>
        </w:rPr>
        <w:t xml:space="preserve">Australian demographic statistics: Queensland Government population projections (medium series), </w:t>
      </w:r>
      <w:r>
        <w:rPr>
          <w:rFonts w:ascii="Arial" w:hAnsi="Arial" w:cs="Arial"/>
          <w:sz w:val="20"/>
          <w:szCs w:val="20"/>
        </w:rPr>
        <w:t xml:space="preserve">Retrieved from </w:t>
      </w:r>
      <w:hyperlink r:id="rId22" w:history="1">
        <w:r>
          <w:rPr>
            <w:rStyle w:val="Hyperlink"/>
            <w:rFonts w:ascii="Arial" w:hAnsi="Arial" w:cs="Arial"/>
            <w:sz w:val="20"/>
            <w:szCs w:val="20"/>
          </w:rPr>
          <w:t>www.qgso.qld.gov.au/products/tables/proj-pop-age-group-sex-qld/index.php</w:t>
        </w:r>
      </w:hyperlink>
      <w:r>
        <w:rPr>
          <w:rFonts w:ascii="Arial" w:hAnsi="Arial" w:cs="Arial"/>
          <w:sz w:val="20"/>
          <w:szCs w:val="20"/>
        </w:rPr>
        <w:t xml:space="preserve"> </w:t>
      </w:r>
    </w:p>
    <w:p w14:paraId="28B48B3C" w14:textId="77777777" w:rsidR="00721003" w:rsidRDefault="00721003" w:rsidP="00721003">
      <w:pPr>
        <w:spacing w:after="0"/>
        <w:rPr>
          <w:rFonts w:ascii="Arial" w:hAnsi="Arial" w:cs="Arial"/>
          <w:sz w:val="20"/>
          <w:szCs w:val="20"/>
        </w:rPr>
      </w:pPr>
    </w:p>
    <w:p w14:paraId="314E3359"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Bureau of Statistics (2016) </w:t>
      </w:r>
      <w:r>
        <w:rPr>
          <w:rFonts w:ascii="Arial" w:hAnsi="Arial" w:cs="Arial"/>
          <w:i/>
          <w:sz w:val="20"/>
          <w:szCs w:val="20"/>
        </w:rPr>
        <w:t>Where and how do Australia’s older people live?</w:t>
      </w:r>
      <w:r>
        <w:rPr>
          <w:rFonts w:ascii="Arial" w:hAnsi="Arial" w:cs="Arial"/>
          <w:sz w:val="20"/>
          <w:szCs w:val="20"/>
        </w:rPr>
        <w:t xml:space="preserve"> </w:t>
      </w:r>
      <w:r>
        <w:rPr>
          <w:rFonts w:ascii="Arial" w:hAnsi="Arial" w:cs="Arial"/>
          <w:i/>
          <w:sz w:val="20"/>
          <w:szCs w:val="20"/>
        </w:rPr>
        <w:t>Reflecting a Nation: Stories from the 2011 Census 2012–2013</w:t>
      </w:r>
      <w:r>
        <w:rPr>
          <w:rFonts w:ascii="Arial" w:hAnsi="Arial" w:cs="Arial"/>
          <w:sz w:val="20"/>
          <w:szCs w:val="20"/>
        </w:rPr>
        <w:t xml:space="preserve">, Canberra, ACT: Commonwealth of Australia, Retrieved from </w:t>
      </w:r>
      <w:hyperlink r:id="rId23" w:history="1">
        <w:r w:rsidRPr="00E56F45">
          <w:rPr>
            <w:rStyle w:val="Hyperlink"/>
            <w:rFonts w:ascii="Arial" w:hAnsi="Arial" w:cs="Arial"/>
            <w:sz w:val="20"/>
            <w:szCs w:val="20"/>
          </w:rPr>
          <w:t>www.abs.gov.au/ausstats/abs@.nsf/Lookup/2071.0main+features602012-2013</w:t>
        </w:r>
      </w:hyperlink>
    </w:p>
    <w:p w14:paraId="201499CD" w14:textId="77777777" w:rsidR="00721003" w:rsidRDefault="00721003" w:rsidP="00721003">
      <w:pPr>
        <w:pStyle w:val="FootnoteText"/>
        <w:rPr>
          <w:rFonts w:ascii="Arial" w:hAnsi="Arial" w:cs="Arial"/>
        </w:rPr>
      </w:pPr>
    </w:p>
    <w:p w14:paraId="515D175A" w14:textId="77777777" w:rsidR="00721003" w:rsidRDefault="00721003" w:rsidP="00721003">
      <w:pPr>
        <w:rPr>
          <w:rFonts w:ascii="Arial" w:hAnsi="Arial" w:cs="Arial"/>
          <w:color w:val="0000FF" w:themeColor="hyperlink"/>
          <w:sz w:val="20"/>
          <w:szCs w:val="20"/>
          <w:u w:val="single"/>
        </w:rPr>
      </w:pPr>
      <w:r>
        <w:rPr>
          <w:rFonts w:ascii="Arial" w:hAnsi="Arial" w:cs="Arial"/>
          <w:sz w:val="20"/>
          <w:szCs w:val="20"/>
        </w:rPr>
        <w:t xml:space="preserve">Australian Council of Social Service and National Rural Health Alliance (2013) </w:t>
      </w:r>
      <w:r>
        <w:rPr>
          <w:rFonts w:ascii="Arial" w:hAnsi="Arial" w:cs="Arial"/>
          <w:i/>
          <w:sz w:val="20"/>
          <w:szCs w:val="20"/>
        </w:rPr>
        <w:t>A snapshot of poverty in rural and regional Australia</w:t>
      </w:r>
      <w:r>
        <w:rPr>
          <w:rFonts w:ascii="Arial" w:hAnsi="Arial" w:cs="Arial"/>
          <w:sz w:val="20"/>
          <w:szCs w:val="20"/>
        </w:rPr>
        <w:t xml:space="preserve">, Canberra, ACT: Commonwealth of Australia, Retrieved from </w:t>
      </w:r>
      <w:hyperlink r:id="rId24" w:history="1">
        <w:r>
          <w:rPr>
            <w:rStyle w:val="Hyperlink"/>
            <w:rFonts w:ascii="Arial" w:hAnsi="Arial" w:cs="Arial"/>
            <w:sz w:val="20"/>
            <w:szCs w:val="20"/>
          </w:rPr>
          <w:t>ruralhealth.org.au/document/snapshot-poverty-rural-and-regional-australia</w:t>
        </w:r>
      </w:hyperlink>
    </w:p>
    <w:p w14:paraId="7B55B547"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Communications and Media Authority (2014) Communications Report 2013-14, Melbourne, VIC: Commonwealth of Australia, Retrieved from </w:t>
      </w:r>
      <w:hyperlink r:id="rId25" w:history="1">
        <w:r>
          <w:rPr>
            <w:rStyle w:val="Hyperlink"/>
            <w:rFonts w:ascii="Arial" w:hAnsi="Arial" w:cs="Arial"/>
            <w:sz w:val="20"/>
            <w:szCs w:val="20"/>
          </w:rPr>
          <w:t>www.acma.gov.au/~/media/Research%20and%20Analysis/Publication/Comms%20Report%202013%2014/PDF/Communications%20report%20201314_LOW-RES%20FOR%20WEB%20pdf.pdf</w:t>
        </w:r>
      </w:hyperlink>
      <w:r>
        <w:rPr>
          <w:rFonts w:ascii="Arial" w:hAnsi="Arial" w:cs="Arial"/>
          <w:sz w:val="20"/>
          <w:szCs w:val="20"/>
        </w:rPr>
        <w:t xml:space="preserve"> </w:t>
      </w:r>
    </w:p>
    <w:p w14:paraId="22185FFA" w14:textId="77777777" w:rsidR="00721003" w:rsidRDefault="00721003" w:rsidP="00721003">
      <w:pPr>
        <w:spacing w:after="0" w:line="240" w:lineRule="auto"/>
        <w:rPr>
          <w:rFonts w:ascii="Arial" w:hAnsi="Arial" w:cs="Arial"/>
          <w:sz w:val="20"/>
          <w:szCs w:val="20"/>
        </w:rPr>
      </w:pPr>
    </w:p>
    <w:p w14:paraId="1C26C4FA" w14:textId="77777777" w:rsidR="00721003" w:rsidRDefault="00721003" w:rsidP="00721003">
      <w:pPr>
        <w:spacing w:after="0" w:line="240" w:lineRule="auto"/>
        <w:rPr>
          <w:rFonts w:ascii="Arial" w:hAnsi="Arial" w:cs="Arial"/>
          <w:color w:val="0000FF" w:themeColor="hyperlink"/>
          <w:sz w:val="20"/>
          <w:szCs w:val="20"/>
          <w:u w:val="single"/>
        </w:rPr>
      </w:pPr>
      <w:r>
        <w:rPr>
          <w:rFonts w:ascii="Arial" w:hAnsi="Arial" w:cs="Arial"/>
          <w:sz w:val="20"/>
          <w:szCs w:val="20"/>
        </w:rPr>
        <w:t xml:space="preserve">Australian Government Productivity Commission (2013) </w:t>
      </w:r>
      <w:r>
        <w:rPr>
          <w:rFonts w:ascii="Arial" w:hAnsi="Arial" w:cs="Arial"/>
          <w:i/>
          <w:sz w:val="20"/>
          <w:szCs w:val="20"/>
        </w:rPr>
        <w:t>An Ageing Australia: Preparing for the Future</w:t>
      </w:r>
      <w:r>
        <w:rPr>
          <w:rFonts w:ascii="Arial" w:hAnsi="Arial" w:cs="Arial"/>
          <w:sz w:val="20"/>
          <w:szCs w:val="20"/>
        </w:rPr>
        <w:t>, Melbourne, VIC: Commonwealth of Australia, Retrieved from</w:t>
      </w:r>
      <w:r>
        <w:t xml:space="preserve"> </w:t>
      </w:r>
      <w:hyperlink r:id="rId26" w:history="1">
        <w:r w:rsidRPr="00E56F45">
          <w:rPr>
            <w:rStyle w:val="Hyperlink"/>
            <w:rFonts w:ascii="Arial" w:hAnsi="Arial" w:cs="Arial"/>
            <w:sz w:val="20"/>
            <w:szCs w:val="20"/>
          </w:rPr>
          <w:t>www.pc.gov.au/research/completed/ageing-australia</w:t>
        </w:r>
      </w:hyperlink>
    </w:p>
    <w:p w14:paraId="165F656B" w14:textId="77777777" w:rsidR="00721003" w:rsidRDefault="00721003" w:rsidP="00721003">
      <w:pPr>
        <w:spacing w:after="0" w:line="240" w:lineRule="auto"/>
        <w:rPr>
          <w:rFonts w:ascii="Arial" w:hAnsi="Arial" w:cs="Arial"/>
          <w:sz w:val="20"/>
          <w:szCs w:val="20"/>
        </w:rPr>
      </w:pPr>
    </w:p>
    <w:p w14:paraId="64C26EFE"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Government Treasury (2013) </w:t>
      </w:r>
      <w:r>
        <w:rPr>
          <w:rFonts w:ascii="Arial" w:hAnsi="Arial" w:cs="Arial"/>
          <w:i/>
          <w:sz w:val="20"/>
          <w:szCs w:val="20"/>
        </w:rPr>
        <w:t>Housing Supply and Affordability Issues 2012–13</w:t>
      </w:r>
      <w:r>
        <w:rPr>
          <w:rFonts w:ascii="Arial" w:hAnsi="Arial" w:cs="Arial"/>
          <w:sz w:val="20"/>
          <w:szCs w:val="20"/>
        </w:rPr>
        <w:t xml:space="preserve">, National Housing Supply Council, Canberra, ACT: Commonwealth of Australia, Retrieved from </w:t>
      </w:r>
    </w:p>
    <w:p w14:paraId="1228FE29" w14:textId="77777777" w:rsidR="00721003" w:rsidRDefault="005C0B55" w:rsidP="00721003">
      <w:pPr>
        <w:spacing w:after="0" w:line="240" w:lineRule="auto"/>
        <w:rPr>
          <w:rFonts w:ascii="Arial" w:hAnsi="Arial" w:cs="Arial"/>
          <w:sz w:val="20"/>
          <w:szCs w:val="20"/>
        </w:rPr>
      </w:pPr>
      <w:hyperlink r:id="rId27" w:history="1">
        <w:r w:rsidR="00721003">
          <w:rPr>
            <w:rStyle w:val="Hyperlink"/>
            <w:rFonts w:ascii="Arial" w:hAnsi="Arial" w:cs="Arial"/>
            <w:sz w:val="20"/>
            <w:szCs w:val="20"/>
          </w:rPr>
          <w:t>www.treasury.gov.au/PublicationsAndMedia/Publications/2013/NHSC</w:t>
        </w:r>
      </w:hyperlink>
    </w:p>
    <w:p w14:paraId="49AB3659" w14:textId="77777777" w:rsidR="00721003" w:rsidRDefault="00721003" w:rsidP="00721003">
      <w:pPr>
        <w:spacing w:after="0" w:line="240" w:lineRule="auto"/>
        <w:rPr>
          <w:rFonts w:ascii="Arial" w:hAnsi="Arial" w:cs="Arial"/>
          <w:i/>
          <w:sz w:val="20"/>
          <w:szCs w:val="20"/>
        </w:rPr>
      </w:pPr>
    </w:p>
    <w:p w14:paraId="4850CACD"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Human Rights Commission (2009) </w:t>
      </w:r>
      <w:r>
        <w:rPr>
          <w:rFonts w:ascii="Arial" w:hAnsi="Arial" w:cs="Arial"/>
          <w:i/>
          <w:sz w:val="20"/>
          <w:szCs w:val="20"/>
        </w:rPr>
        <w:t>Accumulating poverty? Women’s experiences of inequality over the lifecycle</w:t>
      </w:r>
      <w:r>
        <w:rPr>
          <w:rFonts w:ascii="Arial" w:hAnsi="Arial" w:cs="Arial"/>
          <w:sz w:val="20"/>
          <w:szCs w:val="20"/>
        </w:rPr>
        <w:t>, Sydney, NSW: Australian Human Rights Commission, Retrieved from</w:t>
      </w:r>
    </w:p>
    <w:p w14:paraId="5E80E579" w14:textId="77777777" w:rsidR="00721003" w:rsidRDefault="005C0B55" w:rsidP="00721003">
      <w:pPr>
        <w:spacing w:after="0" w:line="240" w:lineRule="auto"/>
        <w:rPr>
          <w:rFonts w:ascii="Arial" w:hAnsi="Arial" w:cs="Arial"/>
          <w:color w:val="0000FF" w:themeColor="hyperlink"/>
          <w:sz w:val="20"/>
          <w:szCs w:val="20"/>
          <w:u w:val="single"/>
        </w:rPr>
      </w:pPr>
      <w:hyperlink r:id="rId28" w:history="1">
        <w:r w:rsidR="00721003">
          <w:rPr>
            <w:rStyle w:val="Hyperlink"/>
            <w:rFonts w:ascii="Arial" w:hAnsi="Arial" w:cs="Arial"/>
            <w:sz w:val="20"/>
            <w:szCs w:val="20"/>
          </w:rPr>
          <w:t>www.humanrights.gov.au/our-work/sex-discrimination/publications/accumulating-poverty-women-s-experiences-inequality-over</w:t>
        </w:r>
      </w:hyperlink>
    </w:p>
    <w:p w14:paraId="11F04C58" w14:textId="77777777" w:rsidR="00721003" w:rsidRDefault="00721003" w:rsidP="00721003">
      <w:pPr>
        <w:spacing w:after="0" w:line="240" w:lineRule="auto"/>
        <w:rPr>
          <w:rFonts w:ascii="Arial" w:hAnsi="Arial" w:cs="Arial"/>
          <w:color w:val="0000FF" w:themeColor="hyperlink"/>
          <w:sz w:val="20"/>
          <w:szCs w:val="20"/>
          <w:u w:val="single"/>
        </w:rPr>
      </w:pPr>
    </w:p>
    <w:p w14:paraId="4AAD8956"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Human Rights Commission (2010) </w:t>
      </w:r>
      <w:r>
        <w:rPr>
          <w:rFonts w:ascii="Arial" w:hAnsi="Arial" w:cs="Arial"/>
          <w:i/>
          <w:sz w:val="20"/>
          <w:szCs w:val="20"/>
        </w:rPr>
        <w:t xml:space="preserve">Age discrimination – exposing the hidden barrier for mature age workers </w:t>
      </w:r>
      <w:r>
        <w:rPr>
          <w:rFonts w:ascii="Arial" w:hAnsi="Arial" w:cs="Arial"/>
          <w:sz w:val="20"/>
          <w:szCs w:val="20"/>
        </w:rPr>
        <w:t xml:space="preserve">Report, 2010, Sydney, NSW: Australian Human Rights Commission, Retrieved from </w:t>
      </w:r>
      <w:hyperlink r:id="rId29" w:history="1">
        <w:r>
          <w:rPr>
            <w:rStyle w:val="Hyperlink"/>
            <w:rFonts w:ascii="Arial" w:hAnsi="Arial" w:cs="Arial"/>
            <w:sz w:val="20"/>
            <w:szCs w:val="20"/>
          </w:rPr>
          <w:t>www.humanrights.gov.au/sites/default/files/document/publication/hiddenbarrier2010.pdf</w:t>
        </w:r>
      </w:hyperlink>
      <w:r>
        <w:rPr>
          <w:rStyle w:val="Hyperlink"/>
          <w:rFonts w:ascii="Arial" w:hAnsi="Arial" w:cs="Arial"/>
          <w:sz w:val="20"/>
          <w:szCs w:val="20"/>
        </w:rPr>
        <w:t xml:space="preserve"> </w:t>
      </w:r>
      <w:r>
        <w:rPr>
          <w:rFonts w:ascii="Arial" w:hAnsi="Arial" w:cs="Arial"/>
          <w:sz w:val="20"/>
          <w:szCs w:val="20"/>
        </w:rPr>
        <w:t xml:space="preserve">   </w:t>
      </w:r>
    </w:p>
    <w:p w14:paraId="7E7A7903" w14:textId="77777777" w:rsidR="00721003" w:rsidRDefault="00721003" w:rsidP="00721003">
      <w:pPr>
        <w:spacing w:after="0" w:line="240" w:lineRule="auto"/>
        <w:rPr>
          <w:rFonts w:ascii="Arial" w:hAnsi="Arial" w:cs="Arial"/>
          <w:i/>
          <w:sz w:val="20"/>
          <w:szCs w:val="20"/>
        </w:rPr>
      </w:pPr>
    </w:p>
    <w:p w14:paraId="3B8160F3"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Institute of Health and Welfare (2011) </w:t>
      </w:r>
      <w:r>
        <w:rPr>
          <w:rFonts w:ascii="Arial" w:hAnsi="Arial" w:cs="Arial"/>
          <w:i/>
          <w:sz w:val="20"/>
          <w:szCs w:val="20"/>
        </w:rPr>
        <w:t xml:space="preserve">A profile of homelessness for Aboriginal and Torres Strait Islander people, </w:t>
      </w:r>
      <w:r>
        <w:rPr>
          <w:rFonts w:ascii="Arial" w:hAnsi="Arial" w:cs="Arial"/>
          <w:sz w:val="20"/>
          <w:szCs w:val="20"/>
        </w:rPr>
        <w:t>Canberra, ACT: Commonwealth of Australia,</w:t>
      </w:r>
      <w:r>
        <w:rPr>
          <w:rFonts w:ascii="Arial" w:hAnsi="Arial" w:cs="Arial"/>
          <w:i/>
          <w:sz w:val="20"/>
          <w:szCs w:val="20"/>
        </w:rPr>
        <w:t xml:space="preserve"> </w:t>
      </w:r>
      <w:r>
        <w:rPr>
          <w:rFonts w:ascii="Arial" w:hAnsi="Arial" w:cs="Arial"/>
          <w:sz w:val="20"/>
          <w:szCs w:val="20"/>
        </w:rPr>
        <w:t xml:space="preserve">Retrieved from </w:t>
      </w:r>
    </w:p>
    <w:p w14:paraId="6D7123AA" w14:textId="77777777" w:rsidR="00721003" w:rsidRDefault="005C0B55" w:rsidP="00721003">
      <w:pPr>
        <w:spacing w:after="0" w:line="240" w:lineRule="auto"/>
        <w:rPr>
          <w:rFonts w:ascii="Arial" w:hAnsi="Arial" w:cs="Arial"/>
          <w:sz w:val="20"/>
          <w:szCs w:val="20"/>
        </w:rPr>
      </w:pPr>
      <w:hyperlink r:id="rId30" w:history="1">
        <w:r w:rsidR="00721003">
          <w:rPr>
            <w:rStyle w:val="Hyperlink"/>
            <w:rFonts w:ascii="Arial" w:hAnsi="Arial" w:cs="Arial"/>
            <w:sz w:val="20"/>
            <w:szCs w:val="20"/>
          </w:rPr>
          <w:t>www.aihw.gov.au/indigenous-observatory-homelessness/</w:t>
        </w:r>
      </w:hyperlink>
    </w:p>
    <w:p w14:paraId="28722559" w14:textId="77777777" w:rsidR="00721003" w:rsidRDefault="00721003" w:rsidP="00721003">
      <w:pPr>
        <w:spacing w:after="0" w:line="240" w:lineRule="auto"/>
        <w:rPr>
          <w:rFonts w:ascii="Arial" w:hAnsi="Arial" w:cs="Arial"/>
          <w:sz w:val="20"/>
          <w:szCs w:val="20"/>
        </w:rPr>
      </w:pPr>
    </w:p>
    <w:p w14:paraId="3E0F9316"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Institute of Health and Welfare (2011) </w:t>
      </w:r>
      <w:r>
        <w:rPr>
          <w:rFonts w:ascii="Arial" w:hAnsi="Arial" w:cs="Arial"/>
          <w:i/>
          <w:sz w:val="20"/>
          <w:szCs w:val="20"/>
        </w:rPr>
        <w:t>Older Aboriginal and Torres Strait Islander people</w:t>
      </w:r>
      <w:r>
        <w:rPr>
          <w:rFonts w:ascii="Arial" w:hAnsi="Arial" w:cs="Arial"/>
          <w:sz w:val="20"/>
          <w:szCs w:val="20"/>
        </w:rPr>
        <w:t xml:space="preserve">, Canberra, ACT: Commonwealth of Australia, </w:t>
      </w:r>
      <w:hyperlink r:id="rId31" w:history="1">
        <w:r>
          <w:rPr>
            <w:rStyle w:val="Hyperlink"/>
            <w:rFonts w:ascii="Arial" w:hAnsi="Arial" w:cs="Arial"/>
            <w:sz w:val="20"/>
            <w:szCs w:val="20"/>
          </w:rPr>
          <w:t>www.aihw.gov.au/publication-detail/?id=10737418972</w:t>
        </w:r>
      </w:hyperlink>
    </w:p>
    <w:p w14:paraId="768A7EF7" w14:textId="77777777" w:rsidR="00721003" w:rsidRDefault="00721003" w:rsidP="00721003">
      <w:pPr>
        <w:spacing w:after="0" w:line="240" w:lineRule="auto"/>
        <w:rPr>
          <w:rFonts w:ascii="Arial" w:hAnsi="Arial" w:cs="Arial"/>
          <w:sz w:val="20"/>
          <w:szCs w:val="20"/>
        </w:rPr>
      </w:pPr>
    </w:p>
    <w:p w14:paraId="3A35D0FA"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Institute of Health and Welfare (2014) </w:t>
      </w:r>
      <w:r>
        <w:rPr>
          <w:rFonts w:ascii="Arial" w:hAnsi="Arial" w:cs="Arial"/>
          <w:i/>
          <w:sz w:val="20"/>
          <w:szCs w:val="20"/>
        </w:rPr>
        <w:t>Housing circumstances of Indigenous households: tenure and overcrowding</w:t>
      </w:r>
      <w:r>
        <w:rPr>
          <w:rFonts w:ascii="Arial" w:hAnsi="Arial" w:cs="Arial"/>
          <w:sz w:val="20"/>
          <w:szCs w:val="20"/>
        </w:rPr>
        <w:t>, Canberra, ACT: Commonwealth of Australia, Retrieved from</w:t>
      </w:r>
    </w:p>
    <w:p w14:paraId="3D9EDB6A" w14:textId="77777777" w:rsidR="00721003" w:rsidRDefault="005C0B55" w:rsidP="00721003">
      <w:pPr>
        <w:spacing w:after="0" w:line="240" w:lineRule="auto"/>
        <w:rPr>
          <w:rFonts w:ascii="Arial" w:hAnsi="Arial" w:cs="Arial"/>
          <w:sz w:val="20"/>
          <w:szCs w:val="20"/>
        </w:rPr>
      </w:pPr>
      <w:hyperlink r:id="rId32" w:history="1">
        <w:r w:rsidR="00721003">
          <w:rPr>
            <w:rStyle w:val="Hyperlink"/>
            <w:rFonts w:ascii="Arial" w:hAnsi="Arial" w:cs="Arial"/>
            <w:sz w:val="20"/>
            <w:szCs w:val="20"/>
          </w:rPr>
          <w:t>www.aihw.gov.au/indigenous-observatory/reports/housing-circumstances/</w:t>
        </w:r>
      </w:hyperlink>
    </w:p>
    <w:p w14:paraId="12544E1F" w14:textId="77777777" w:rsidR="00721003" w:rsidRDefault="00721003" w:rsidP="00721003">
      <w:pPr>
        <w:spacing w:after="0" w:line="240" w:lineRule="auto"/>
        <w:rPr>
          <w:rFonts w:ascii="Arial" w:hAnsi="Arial" w:cs="Arial"/>
          <w:sz w:val="20"/>
          <w:szCs w:val="20"/>
        </w:rPr>
      </w:pPr>
    </w:p>
    <w:p w14:paraId="4745C238"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Australian Institute of Health and Welfare (2014) </w:t>
      </w:r>
      <w:r>
        <w:rPr>
          <w:rFonts w:ascii="Arial" w:hAnsi="Arial" w:cs="Arial"/>
          <w:i/>
          <w:sz w:val="20"/>
          <w:szCs w:val="20"/>
        </w:rPr>
        <w:t>The desire to age in place among older Australians</w:t>
      </w:r>
      <w:r>
        <w:rPr>
          <w:rFonts w:ascii="Arial" w:hAnsi="Arial" w:cs="Arial"/>
          <w:sz w:val="20"/>
          <w:szCs w:val="20"/>
        </w:rPr>
        <w:t xml:space="preserve">, Bulletin 114, Canberra, NSW: Commonwealth of Australia, Retrieved from </w:t>
      </w:r>
      <w:hyperlink r:id="rId33" w:history="1">
        <w:r>
          <w:rPr>
            <w:rStyle w:val="Hyperlink"/>
            <w:rFonts w:ascii="Arial" w:hAnsi="Arial" w:cs="Arial"/>
            <w:sz w:val="20"/>
            <w:szCs w:val="20"/>
          </w:rPr>
          <w:t>www.aihw.gov.au/publication-detail/?id=60129543093</w:t>
        </w:r>
      </w:hyperlink>
    </w:p>
    <w:p w14:paraId="5A38B8B5" w14:textId="77777777" w:rsidR="00721003" w:rsidRDefault="00721003" w:rsidP="00721003">
      <w:pPr>
        <w:spacing w:after="0" w:line="240" w:lineRule="auto"/>
        <w:rPr>
          <w:rFonts w:ascii="Arial" w:hAnsi="Arial" w:cs="Arial"/>
          <w:color w:val="00B050"/>
          <w:sz w:val="20"/>
          <w:szCs w:val="20"/>
        </w:rPr>
      </w:pPr>
    </w:p>
    <w:p w14:paraId="4D12D3D7" w14:textId="77777777" w:rsidR="00721003" w:rsidRDefault="00721003" w:rsidP="00721003">
      <w:pPr>
        <w:rPr>
          <w:rFonts w:ascii="Arial" w:hAnsi="Arial" w:cs="Arial"/>
        </w:rPr>
      </w:pPr>
      <w:r>
        <w:rPr>
          <w:rFonts w:ascii="Arial" w:hAnsi="Arial" w:cs="Arial"/>
          <w:sz w:val="20"/>
          <w:szCs w:val="20"/>
        </w:rPr>
        <w:t xml:space="preserve">Australian Productivity Commission (2015) </w:t>
      </w:r>
      <w:r>
        <w:rPr>
          <w:rFonts w:ascii="Arial" w:hAnsi="Arial" w:cs="Arial"/>
          <w:i/>
          <w:sz w:val="20"/>
          <w:szCs w:val="20"/>
        </w:rPr>
        <w:t>Housing Decisions of Older Australians Commission Research Paper 2015</w:t>
      </w:r>
      <w:r>
        <w:rPr>
          <w:rFonts w:ascii="Arial" w:hAnsi="Arial" w:cs="Arial"/>
          <w:sz w:val="20"/>
          <w:szCs w:val="20"/>
        </w:rPr>
        <w:t xml:space="preserve">, Canberra, ACT: Commonwealth of Australia, Retrieved from </w:t>
      </w:r>
      <w:hyperlink r:id="rId34" w:history="1">
        <w:r>
          <w:rPr>
            <w:rStyle w:val="Hyperlink"/>
            <w:rFonts w:ascii="Arial" w:hAnsi="Arial" w:cs="Arial"/>
            <w:sz w:val="20"/>
            <w:szCs w:val="20"/>
          </w:rPr>
          <w:t>www.pc.gov.au/research/completed/housing-decisions-older-australians</w:t>
        </w:r>
      </w:hyperlink>
      <w:r>
        <w:rPr>
          <w:rFonts w:ascii="Arial" w:hAnsi="Arial" w:cs="Arial"/>
          <w:sz w:val="20"/>
          <w:szCs w:val="20"/>
        </w:rPr>
        <w:t xml:space="preserve"> </w:t>
      </w:r>
    </w:p>
    <w:p w14:paraId="6655C202"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Scobie, J. et. al., (2015) </w:t>
      </w:r>
      <w:r>
        <w:rPr>
          <w:rFonts w:ascii="Arial" w:hAnsi="Arial" w:cs="Arial"/>
          <w:i/>
          <w:sz w:val="20"/>
          <w:szCs w:val="20"/>
        </w:rPr>
        <w:t xml:space="preserve">Global AgeWatch Index 2015 Insight Report, </w:t>
      </w:r>
      <w:r>
        <w:rPr>
          <w:rFonts w:ascii="Arial" w:hAnsi="Arial" w:cs="Arial"/>
          <w:sz w:val="20"/>
          <w:szCs w:val="20"/>
        </w:rPr>
        <w:t>London, United Kingdom: HelpAge International,</w:t>
      </w:r>
      <w:r>
        <w:rPr>
          <w:rFonts w:ascii="Arial" w:hAnsi="Arial" w:cs="Arial"/>
          <w:i/>
          <w:sz w:val="20"/>
          <w:szCs w:val="20"/>
        </w:rPr>
        <w:t xml:space="preserve"> </w:t>
      </w:r>
      <w:r>
        <w:rPr>
          <w:rFonts w:ascii="Arial" w:hAnsi="Arial" w:cs="Arial"/>
          <w:sz w:val="20"/>
          <w:szCs w:val="20"/>
        </w:rPr>
        <w:t xml:space="preserve">Retrieved from </w:t>
      </w:r>
      <w:hyperlink r:id="rId35" w:history="1">
        <w:r>
          <w:rPr>
            <w:rStyle w:val="Hyperlink"/>
            <w:rFonts w:ascii="Arial" w:hAnsi="Arial" w:cs="Arial"/>
            <w:sz w:val="20"/>
            <w:szCs w:val="20"/>
          </w:rPr>
          <w:t>reports.helpage.org/global-agewatch-index-2015-insight-report.pdf</w:t>
        </w:r>
      </w:hyperlink>
    </w:p>
    <w:p w14:paraId="0300BDF1" w14:textId="77777777" w:rsidR="00721003" w:rsidRDefault="00721003" w:rsidP="00721003">
      <w:pPr>
        <w:spacing w:after="0" w:line="240" w:lineRule="auto"/>
        <w:rPr>
          <w:rFonts w:ascii="Arial" w:hAnsi="Arial" w:cs="Arial"/>
          <w:sz w:val="20"/>
          <w:szCs w:val="20"/>
        </w:rPr>
      </w:pPr>
    </w:p>
    <w:p w14:paraId="4E8379A7" w14:textId="77777777" w:rsidR="00721003" w:rsidRDefault="00721003" w:rsidP="00721003">
      <w:pPr>
        <w:spacing w:after="0" w:line="240" w:lineRule="auto"/>
        <w:rPr>
          <w:rFonts w:ascii="Arial" w:hAnsi="Arial" w:cs="Arial"/>
          <w:sz w:val="20"/>
          <w:szCs w:val="20"/>
        </w:rPr>
      </w:pPr>
      <w:r>
        <w:rPr>
          <w:rFonts w:ascii="Arial" w:hAnsi="Arial" w:cs="Arial"/>
          <w:sz w:val="20"/>
          <w:szCs w:val="20"/>
        </w:rPr>
        <w:lastRenderedPageBreak/>
        <w:t xml:space="preserve">Chomik, R. and MacLennan, M., (2014) </w:t>
      </w:r>
      <w:r>
        <w:rPr>
          <w:rFonts w:ascii="Arial" w:hAnsi="Arial" w:cs="Arial"/>
          <w:i/>
          <w:sz w:val="20"/>
          <w:szCs w:val="20"/>
        </w:rPr>
        <w:t>Aged care in Australia: Part 1 – Policy, demand and funding,</w:t>
      </w:r>
      <w:r>
        <w:rPr>
          <w:rFonts w:ascii="Arial" w:hAnsi="Arial" w:cs="Arial"/>
          <w:sz w:val="20"/>
          <w:szCs w:val="20"/>
        </w:rPr>
        <w:t xml:space="preserve"> Kensington, NSW: University of New South Wales, Australian National University and The University of Sydney, Retrieved from </w:t>
      </w:r>
      <w:hyperlink r:id="rId36" w:history="1">
        <w:r w:rsidRPr="00E56F45">
          <w:rPr>
            <w:rStyle w:val="Hyperlink"/>
            <w:rFonts w:ascii="Arial" w:hAnsi="Arial" w:cs="Arial"/>
            <w:sz w:val="20"/>
            <w:szCs w:val="20"/>
          </w:rPr>
          <w:t>www.cepar.edu.au/media/127442/aged_care_in_australia_-_part_i_-_web_version_fin.pdf</w:t>
        </w:r>
      </w:hyperlink>
    </w:p>
    <w:p w14:paraId="24DED0DE" w14:textId="77777777" w:rsidR="00721003" w:rsidRDefault="00721003" w:rsidP="00721003">
      <w:pPr>
        <w:spacing w:after="0" w:line="240" w:lineRule="auto"/>
        <w:rPr>
          <w:rFonts w:ascii="Arial" w:hAnsi="Arial" w:cs="Arial"/>
          <w:i/>
          <w:sz w:val="20"/>
          <w:szCs w:val="20"/>
        </w:rPr>
      </w:pPr>
    </w:p>
    <w:p w14:paraId="12FF8CEC"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Stalker, J. (2013) </w:t>
      </w:r>
      <w:r>
        <w:rPr>
          <w:rFonts w:ascii="Arial" w:hAnsi="Arial" w:cs="Arial"/>
          <w:i/>
          <w:sz w:val="20"/>
          <w:szCs w:val="20"/>
        </w:rPr>
        <w:t xml:space="preserve">Achieving Sustainable Seniors Housing </w:t>
      </w:r>
      <w:r>
        <w:rPr>
          <w:rFonts w:ascii="Arial" w:hAnsi="Arial" w:cs="Arial"/>
          <w:sz w:val="20"/>
          <w:szCs w:val="20"/>
        </w:rPr>
        <w:t xml:space="preserve">Council, Brisbane, Queensland: Council of the Ageing Queensland, Retrieved from </w:t>
      </w:r>
      <w:hyperlink r:id="rId37" w:history="1">
        <w:r>
          <w:rPr>
            <w:rStyle w:val="Hyperlink"/>
            <w:rFonts w:ascii="Arial" w:hAnsi="Arial" w:cs="Arial"/>
            <w:sz w:val="20"/>
            <w:szCs w:val="20"/>
          </w:rPr>
          <w:t>cotaqld.org.au/wp-content/uploads/2014/02/2013_12_COTA-Qld-Housing-Policy-submission.pdf</w:t>
        </w:r>
      </w:hyperlink>
    </w:p>
    <w:p w14:paraId="70CDFD04" w14:textId="77777777" w:rsidR="00721003" w:rsidRDefault="00721003" w:rsidP="00721003">
      <w:pPr>
        <w:spacing w:after="0" w:line="240" w:lineRule="auto"/>
        <w:rPr>
          <w:rFonts w:ascii="Arial" w:hAnsi="Arial" w:cs="Arial"/>
          <w:sz w:val="20"/>
          <w:szCs w:val="20"/>
        </w:rPr>
      </w:pPr>
    </w:p>
    <w:p w14:paraId="29708701"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Root, J. (2014) </w:t>
      </w:r>
      <w:r>
        <w:rPr>
          <w:rFonts w:ascii="Arial" w:hAnsi="Arial" w:cs="Arial"/>
          <w:i/>
          <w:sz w:val="20"/>
          <w:szCs w:val="20"/>
        </w:rPr>
        <w:t>Submission to the Inquiry into Housing Affordability,</w:t>
      </w:r>
      <w:r>
        <w:rPr>
          <w:rFonts w:ascii="Arial" w:hAnsi="Arial" w:cs="Arial"/>
          <w:sz w:val="20"/>
          <w:szCs w:val="20"/>
        </w:rPr>
        <w:t xml:space="preserve"> South Australia: Adelaide, Council of the Ageing Australia, Retrieved from </w:t>
      </w:r>
      <w:hyperlink r:id="rId38" w:history="1">
        <w:r w:rsidRPr="00E56F45">
          <w:rPr>
            <w:rStyle w:val="Hyperlink"/>
            <w:rFonts w:ascii="Arial" w:hAnsi="Arial" w:cs="Arial"/>
            <w:sz w:val="20"/>
            <w:szCs w:val="20"/>
          </w:rPr>
          <w:t>www.cota.org.au/lib/pdf/COTA_Australia/publications/submissions/submission_affordable_housing_2014.pdf</w:t>
        </w:r>
      </w:hyperlink>
    </w:p>
    <w:p w14:paraId="5CF7F147" w14:textId="77777777" w:rsidR="00721003" w:rsidRDefault="00721003" w:rsidP="00721003">
      <w:pPr>
        <w:pStyle w:val="FootnoteText"/>
        <w:rPr>
          <w:rFonts w:ascii="Arial" w:hAnsi="Arial" w:cs="Arial"/>
        </w:rPr>
      </w:pPr>
    </w:p>
    <w:p w14:paraId="2EF00850"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Department of Communities, Child Safety and Disability Services (2015) </w:t>
      </w:r>
      <w:r>
        <w:rPr>
          <w:rFonts w:ascii="Arial" w:hAnsi="Arial" w:cs="Arial"/>
          <w:i/>
          <w:sz w:val="20"/>
          <w:szCs w:val="20"/>
        </w:rPr>
        <w:t xml:space="preserve">Inquiry into the adequacy of existing financial protections for Queensland’s seniors, </w:t>
      </w:r>
      <w:r>
        <w:rPr>
          <w:rFonts w:ascii="Arial" w:hAnsi="Arial" w:cs="Arial"/>
          <w:sz w:val="20"/>
          <w:szCs w:val="20"/>
        </w:rPr>
        <w:t>Brisbane, Australia: Queensland Government, Retrieved from</w:t>
      </w:r>
    </w:p>
    <w:p w14:paraId="497B9E88" w14:textId="77777777" w:rsidR="00721003" w:rsidRDefault="005C0B55" w:rsidP="00721003">
      <w:pPr>
        <w:spacing w:after="0" w:line="240" w:lineRule="auto"/>
        <w:rPr>
          <w:rFonts w:ascii="Arial" w:hAnsi="Arial" w:cs="Arial"/>
          <w:sz w:val="20"/>
          <w:szCs w:val="20"/>
        </w:rPr>
      </w:pPr>
      <w:hyperlink r:id="rId39" w:history="1">
        <w:r w:rsidR="00721003">
          <w:rPr>
            <w:rStyle w:val="Hyperlink"/>
            <w:rFonts w:ascii="Arial" w:hAnsi="Arial" w:cs="Arial"/>
            <w:sz w:val="20"/>
            <w:szCs w:val="20"/>
          </w:rPr>
          <w:t>www.parliament.qld.gov.au/work-of-committees/committees/CDSDFVPC/inquiries/current-inquiries/01TheAdequacySeniors</w:t>
        </w:r>
      </w:hyperlink>
    </w:p>
    <w:p w14:paraId="267DAD76" w14:textId="77777777" w:rsidR="00721003" w:rsidRDefault="00721003" w:rsidP="00721003">
      <w:pPr>
        <w:pStyle w:val="FootnoteText"/>
        <w:rPr>
          <w:rFonts w:ascii="Arial" w:hAnsi="Arial" w:cs="Arial"/>
        </w:rPr>
      </w:pPr>
    </w:p>
    <w:p w14:paraId="3E744A7B"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Department of Social Services (2014) </w:t>
      </w:r>
      <w:r>
        <w:rPr>
          <w:rFonts w:ascii="Arial" w:hAnsi="Arial" w:cs="Arial"/>
          <w:i/>
          <w:sz w:val="20"/>
          <w:szCs w:val="20"/>
        </w:rPr>
        <w:t xml:space="preserve">A New System for Better Employment and Social Outcomes, Interim Report of the Reference Group on Welfare Reform to the Minister for Social Services, </w:t>
      </w:r>
      <w:r>
        <w:rPr>
          <w:rFonts w:ascii="Arial" w:hAnsi="Arial" w:cs="Arial"/>
          <w:sz w:val="20"/>
          <w:szCs w:val="20"/>
        </w:rPr>
        <w:t>Canberra, ACT: Commonwealth of Australia, Retrieved from</w:t>
      </w:r>
    </w:p>
    <w:p w14:paraId="0E5A1685" w14:textId="77777777" w:rsidR="00721003" w:rsidRDefault="005C0B55" w:rsidP="00721003">
      <w:pPr>
        <w:spacing w:after="0" w:line="240" w:lineRule="auto"/>
        <w:rPr>
          <w:rFonts w:ascii="Arial" w:hAnsi="Arial" w:cs="Arial"/>
          <w:sz w:val="20"/>
          <w:szCs w:val="20"/>
        </w:rPr>
      </w:pPr>
      <w:hyperlink r:id="rId40" w:history="1">
        <w:r w:rsidR="00721003" w:rsidRPr="00E56F45">
          <w:rPr>
            <w:rStyle w:val="Hyperlink"/>
            <w:rFonts w:ascii="Arial" w:hAnsi="Arial" w:cs="Arial"/>
            <w:sz w:val="20"/>
            <w:szCs w:val="20"/>
          </w:rPr>
          <w:t>www.dss.gov.au/our-responsibilities/review-of-australia-s-welfare-system/a-new-system-for-better-employment-and-social-outcomes-full-version-of-the-interim-report</w:t>
        </w:r>
      </w:hyperlink>
    </w:p>
    <w:p w14:paraId="311EAAE2" w14:textId="77777777" w:rsidR="00721003" w:rsidRDefault="00721003" w:rsidP="00721003">
      <w:pPr>
        <w:spacing w:after="0" w:line="240" w:lineRule="auto"/>
        <w:rPr>
          <w:rFonts w:ascii="Arial" w:hAnsi="Arial" w:cs="Arial"/>
          <w:i/>
          <w:sz w:val="20"/>
          <w:szCs w:val="20"/>
        </w:rPr>
      </w:pPr>
    </w:p>
    <w:p w14:paraId="008E6D48"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Federation of Ethnic Communities Councils of Australia (2015) </w:t>
      </w:r>
      <w:r>
        <w:rPr>
          <w:rFonts w:ascii="Arial" w:hAnsi="Arial" w:cs="Arial"/>
          <w:i/>
          <w:sz w:val="20"/>
          <w:szCs w:val="20"/>
        </w:rPr>
        <w:t xml:space="preserve">Review of Australian Research on Older People from Culturally and Linguistically Diverse Backgrounds, </w:t>
      </w:r>
      <w:r>
        <w:rPr>
          <w:rFonts w:ascii="Arial" w:hAnsi="Arial" w:cs="Arial"/>
          <w:sz w:val="20"/>
          <w:szCs w:val="20"/>
        </w:rPr>
        <w:br/>
        <w:t>Deaking, ACT: Federation of Ethnic Communities Councils of Australia, Retrieved from</w:t>
      </w:r>
    </w:p>
    <w:p w14:paraId="73031A13" w14:textId="77777777" w:rsidR="00721003" w:rsidRDefault="005C0B55" w:rsidP="00721003">
      <w:pPr>
        <w:spacing w:after="0" w:line="240" w:lineRule="auto"/>
        <w:rPr>
          <w:rFonts w:ascii="Arial" w:hAnsi="Arial" w:cs="Arial"/>
          <w:color w:val="0000FF" w:themeColor="hyperlink"/>
          <w:sz w:val="20"/>
          <w:szCs w:val="20"/>
          <w:u w:val="single"/>
        </w:rPr>
      </w:pPr>
      <w:hyperlink r:id="rId41" w:history="1">
        <w:r w:rsidR="00721003">
          <w:rPr>
            <w:rStyle w:val="Hyperlink"/>
            <w:rFonts w:ascii="Arial" w:hAnsi="Arial" w:cs="Arial"/>
            <w:sz w:val="20"/>
            <w:szCs w:val="20"/>
          </w:rPr>
          <w:t>servicedelivery.dss.gov.au/2015/03/25/review-of-australian-research-on-older-people-from-culturally-and-linguistically-diverse-backgrounds/</w:t>
        </w:r>
      </w:hyperlink>
    </w:p>
    <w:p w14:paraId="590C5093" w14:textId="77777777" w:rsidR="00721003" w:rsidRDefault="00721003" w:rsidP="00721003">
      <w:pPr>
        <w:spacing w:after="0"/>
        <w:rPr>
          <w:rFonts w:ascii="Arial" w:hAnsi="Arial" w:cs="Arial"/>
          <w:sz w:val="20"/>
          <w:szCs w:val="20"/>
        </w:rPr>
      </w:pPr>
    </w:p>
    <w:p w14:paraId="487BFE94" w14:textId="77777777" w:rsidR="00721003" w:rsidRDefault="00721003" w:rsidP="00721003">
      <w:pPr>
        <w:spacing w:after="0"/>
        <w:rPr>
          <w:rFonts w:ascii="Arial" w:hAnsi="Arial" w:cs="Arial"/>
          <w:color w:val="0000FF" w:themeColor="hyperlink"/>
          <w:sz w:val="20"/>
          <w:szCs w:val="20"/>
          <w:u w:val="single"/>
        </w:rPr>
      </w:pPr>
      <w:r>
        <w:rPr>
          <w:rFonts w:ascii="Arial" w:hAnsi="Arial" w:cs="Arial"/>
          <w:sz w:val="20"/>
          <w:szCs w:val="20"/>
        </w:rPr>
        <w:t xml:space="preserve">Government of the United Kingdom (2008) </w:t>
      </w:r>
      <w:r>
        <w:rPr>
          <w:rFonts w:ascii="Arial" w:hAnsi="Arial" w:cs="Arial"/>
          <w:i/>
          <w:sz w:val="20"/>
          <w:szCs w:val="20"/>
        </w:rPr>
        <w:t xml:space="preserve">United Kingdom Strategy for Housing in an Ageing Society 2007, </w:t>
      </w:r>
      <w:r>
        <w:rPr>
          <w:rFonts w:ascii="Arial" w:hAnsi="Arial" w:cs="Arial"/>
          <w:sz w:val="20"/>
          <w:szCs w:val="20"/>
        </w:rPr>
        <w:t xml:space="preserve">London, United Kingdom: Communities and Local Government Publications, Retrieved from  </w:t>
      </w:r>
      <w:hyperlink r:id="rId42" w:history="1">
        <w:r w:rsidRPr="00E56F45">
          <w:rPr>
            <w:rStyle w:val="Hyperlink"/>
            <w:rFonts w:ascii="Arial" w:hAnsi="Arial" w:cs="Arial"/>
            <w:sz w:val="20"/>
            <w:szCs w:val="20"/>
          </w:rPr>
          <w:t>www.gov.uk/government/publications/lifetime-neighbourhoods--2</w:t>
        </w:r>
      </w:hyperlink>
      <w:r>
        <w:rPr>
          <w:rFonts w:ascii="Arial" w:hAnsi="Arial" w:cs="Arial"/>
          <w:sz w:val="20"/>
          <w:szCs w:val="20"/>
        </w:rPr>
        <w:t xml:space="preserve"> </w:t>
      </w:r>
    </w:p>
    <w:p w14:paraId="57E2522D" w14:textId="77777777" w:rsidR="00721003" w:rsidRDefault="00721003" w:rsidP="00721003">
      <w:pPr>
        <w:spacing w:after="0" w:line="240" w:lineRule="auto"/>
        <w:rPr>
          <w:rFonts w:ascii="Arial" w:hAnsi="Arial" w:cs="Arial"/>
          <w:color w:val="0000FF" w:themeColor="hyperlink"/>
          <w:sz w:val="20"/>
          <w:szCs w:val="20"/>
          <w:u w:val="single"/>
        </w:rPr>
      </w:pPr>
    </w:p>
    <w:p w14:paraId="20775D18" w14:textId="77777777" w:rsidR="00721003" w:rsidRDefault="00721003" w:rsidP="00721003">
      <w:pPr>
        <w:spacing w:after="0" w:line="240" w:lineRule="auto"/>
        <w:rPr>
          <w:rFonts w:ascii="Arial" w:hAnsi="Arial" w:cs="Arial"/>
          <w:color w:val="0000FF" w:themeColor="hyperlink"/>
          <w:sz w:val="20"/>
          <w:szCs w:val="20"/>
          <w:u w:val="single"/>
        </w:rPr>
      </w:pPr>
      <w:r>
        <w:rPr>
          <w:rFonts w:ascii="Arial" w:hAnsi="Arial" w:cs="Arial"/>
          <w:sz w:val="20"/>
          <w:szCs w:val="20"/>
          <w:u w:val="single"/>
        </w:rPr>
        <w:t>Landcom (2008),</w:t>
      </w:r>
      <w:r>
        <w:rPr>
          <w:rFonts w:ascii="Arial" w:hAnsi="Arial" w:cs="Arial"/>
          <w:i/>
          <w:sz w:val="20"/>
          <w:szCs w:val="20"/>
          <w:u w:val="single"/>
        </w:rPr>
        <w:t xml:space="preserve"> Universal housing design guidelines for Landcom projects, </w:t>
      </w:r>
      <w:r>
        <w:rPr>
          <w:rFonts w:ascii="Arial" w:hAnsi="Arial" w:cs="Arial"/>
          <w:sz w:val="20"/>
          <w:szCs w:val="20"/>
          <w:u w:val="single"/>
        </w:rPr>
        <w:t>Parramatta NSW. Retrieved from</w:t>
      </w:r>
      <w:r>
        <w:t xml:space="preserve"> </w:t>
      </w:r>
      <w:hyperlink r:id="rId43" w:history="1">
        <w:r w:rsidRPr="00F10FE5">
          <w:rPr>
            <w:rStyle w:val="Hyperlink"/>
            <w:rFonts w:ascii="Arial" w:hAnsi="Arial" w:cs="Arial"/>
            <w:sz w:val="20"/>
            <w:szCs w:val="20"/>
          </w:rPr>
          <w:t>http://www.landcom.com.au/news/publications/healthy-development-brochure/</w:t>
        </w:r>
      </w:hyperlink>
      <w:r>
        <w:t xml:space="preserve"> </w:t>
      </w:r>
    </w:p>
    <w:p w14:paraId="1E3B25E8" w14:textId="77777777" w:rsidR="00721003" w:rsidRDefault="00721003" w:rsidP="00721003">
      <w:pPr>
        <w:pStyle w:val="FootnoteText"/>
        <w:rPr>
          <w:rFonts w:ascii="Arial" w:hAnsi="Arial" w:cs="Arial"/>
        </w:rPr>
      </w:pPr>
    </w:p>
    <w:p w14:paraId="5E29F3FF" w14:textId="77777777" w:rsidR="00721003" w:rsidRDefault="00721003" w:rsidP="00721003">
      <w:pPr>
        <w:spacing w:after="0" w:line="240" w:lineRule="auto"/>
        <w:rPr>
          <w:rFonts w:ascii="Arial" w:hAnsi="Arial" w:cs="Arial"/>
          <w:sz w:val="20"/>
          <w:szCs w:val="20"/>
        </w:rPr>
      </w:pPr>
      <w:r>
        <w:rPr>
          <w:rFonts w:ascii="Arial" w:hAnsi="Arial" w:cs="Arial"/>
          <w:sz w:val="20"/>
          <w:szCs w:val="20"/>
        </w:rPr>
        <w:t>National Dialogue on Universal Housing Design (2010)</w:t>
      </w:r>
      <w:r>
        <w:rPr>
          <w:rFonts w:ascii="Arial" w:hAnsi="Arial" w:cs="Arial"/>
          <w:i/>
          <w:sz w:val="20"/>
          <w:szCs w:val="20"/>
        </w:rPr>
        <w:t xml:space="preserve"> Strategic Plan</w:t>
      </w:r>
      <w:r>
        <w:rPr>
          <w:rFonts w:ascii="Arial" w:hAnsi="Arial" w:cs="Arial"/>
          <w:sz w:val="20"/>
          <w:szCs w:val="20"/>
        </w:rPr>
        <w:t>. Retrieved from</w:t>
      </w:r>
    </w:p>
    <w:p w14:paraId="0A8258C1" w14:textId="77777777" w:rsidR="00721003" w:rsidRDefault="005C0B55" w:rsidP="00721003">
      <w:pPr>
        <w:spacing w:after="0" w:line="240" w:lineRule="auto"/>
        <w:rPr>
          <w:rFonts w:ascii="Arial" w:hAnsi="Arial" w:cs="Arial"/>
          <w:sz w:val="20"/>
          <w:szCs w:val="20"/>
        </w:rPr>
      </w:pPr>
      <w:hyperlink r:id="rId44" w:history="1">
        <w:r w:rsidR="00721003">
          <w:rPr>
            <w:rStyle w:val="Hyperlink"/>
            <w:rFonts w:ascii="Arial" w:hAnsi="Arial" w:cs="Arial"/>
            <w:sz w:val="20"/>
            <w:szCs w:val="20"/>
          </w:rPr>
          <w:t>www.dss.gov.au/sites/default/files/documents/05_2012/national_dialogue_strategic_plan.pdf</w:t>
        </w:r>
      </w:hyperlink>
    </w:p>
    <w:p w14:paraId="459392CB" w14:textId="77777777" w:rsidR="00721003" w:rsidRDefault="00721003" w:rsidP="00721003">
      <w:pPr>
        <w:spacing w:after="0" w:line="240" w:lineRule="auto"/>
        <w:rPr>
          <w:rFonts w:ascii="Arial" w:hAnsi="Arial" w:cs="Arial"/>
          <w:color w:val="00B050"/>
          <w:sz w:val="20"/>
          <w:szCs w:val="20"/>
        </w:rPr>
      </w:pPr>
    </w:p>
    <w:p w14:paraId="497355CE" w14:textId="77777777" w:rsidR="00721003" w:rsidRDefault="00721003" w:rsidP="00721003">
      <w:pPr>
        <w:spacing w:after="0" w:line="240" w:lineRule="auto"/>
        <w:rPr>
          <w:rFonts w:ascii="Arial" w:hAnsi="Arial" w:cs="Arial"/>
          <w:color w:val="0000FF" w:themeColor="hyperlink"/>
          <w:sz w:val="20"/>
          <w:szCs w:val="20"/>
          <w:u w:val="single"/>
        </w:rPr>
      </w:pPr>
      <w:r>
        <w:rPr>
          <w:rFonts w:ascii="Arial" w:hAnsi="Arial" w:cs="Arial"/>
          <w:sz w:val="20"/>
          <w:szCs w:val="20"/>
        </w:rPr>
        <w:t>Property Council of Australia (2014)</w:t>
      </w:r>
      <w:r>
        <w:rPr>
          <w:rFonts w:ascii="Arial" w:hAnsi="Arial" w:cs="Arial"/>
          <w:i/>
          <w:sz w:val="20"/>
          <w:szCs w:val="20"/>
        </w:rPr>
        <w:t xml:space="preserve"> National overview of the retirement village sector, </w:t>
      </w:r>
      <w:r>
        <w:rPr>
          <w:rFonts w:ascii="Arial" w:hAnsi="Arial" w:cs="Arial"/>
          <w:sz w:val="20"/>
          <w:szCs w:val="20"/>
        </w:rPr>
        <w:t xml:space="preserve">Sydney, Retrieved from </w:t>
      </w:r>
      <w:hyperlink r:id="rId45" w:history="1">
        <w:r>
          <w:rPr>
            <w:rStyle w:val="Hyperlink"/>
            <w:rFonts w:ascii="Arial" w:hAnsi="Arial" w:cs="Arial"/>
            <w:sz w:val="20"/>
            <w:szCs w:val="20"/>
          </w:rPr>
          <w:t>www.propertycouncil.com.au/Web/Advocacy/Retirement/Web/Advocacy/SectorBasedAdvocacy/Retirement_Living.aspx?hkey=8f5f4aec-3051-4c30-bbd8-2c06fe763e12</w:t>
        </w:r>
      </w:hyperlink>
    </w:p>
    <w:p w14:paraId="68AF946E" w14:textId="77777777" w:rsidR="00721003" w:rsidRDefault="00721003" w:rsidP="00721003">
      <w:pPr>
        <w:spacing w:after="0" w:line="240" w:lineRule="auto"/>
        <w:rPr>
          <w:rFonts w:ascii="Arial" w:hAnsi="Arial" w:cs="Arial"/>
          <w:color w:val="0000FF" w:themeColor="hyperlink"/>
          <w:sz w:val="20"/>
          <w:szCs w:val="20"/>
          <w:u w:val="single"/>
        </w:rPr>
      </w:pPr>
    </w:p>
    <w:p w14:paraId="32DE1C93"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Property Council of Australia (2015) </w:t>
      </w:r>
      <w:r>
        <w:rPr>
          <w:rFonts w:ascii="Arial" w:hAnsi="Arial" w:cs="Arial"/>
          <w:i/>
          <w:sz w:val="20"/>
          <w:szCs w:val="20"/>
        </w:rPr>
        <w:t>The 5A’s of Retirement Living – towards proactive planning policy,</w:t>
      </w:r>
      <w:r>
        <w:rPr>
          <w:rFonts w:ascii="Arial" w:hAnsi="Arial" w:cs="Arial"/>
          <w:sz w:val="20"/>
          <w:szCs w:val="20"/>
        </w:rPr>
        <w:t xml:space="preserve"> Sydney, Retrieved from</w:t>
      </w:r>
    </w:p>
    <w:p w14:paraId="0DFAFA5D" w14:textId="77777777" w:rsidR="00721003" w:rsidRDefault="005C0B55" w:rsidP="00721003">
      <w:pPr>
        <w:spacing w:after="0" w:line="240" w:lineRule="auto"/>
        <w:rPr>
          <w:rFonts w:ascii="Arial" w:hAnsi="Arial" w:cs="Arial"/>
          <w:sz w:val="20"/>
          <w:szCs w:val="20"/>
        </w:rPr>
      </w:pPr>
      <w:hyperlink r:id="rId46" w:history="1">
        <w:r w:rsidR="00721003">
          <w:rPr>
            <w:rStyle w:val="Hyperlink"/>
            <w:rFonts w:ascii="Arial" w:hAnsi="Arial" w:cs="Arial"/>
            <w:sz w:val="20"/>
            <w:szCs w:val="20"/>
          </w:rPr>
          <w:t>www.retirementliving.org.au/wp-content/uploads/2013/12/5As-of-Retirement-Living-towards-proactive-planning-policy-web.pdf</w:t>
        </w:r>
      </w:hyperlink>
    </w:p>
    <w:p w14:paraId="706375C8" w14:textId="77777777" w:rsidR="00721003" w:rsidRDefault="00721003" w:rsidP="00721003">
      <w:pPr>
        <w:spacing w:after="0" w:line="240" w:lineRule="auto"/>
        <w:rPr>
          <w:rFonts w:ascii="Arial" w:hAnsi="Arial" w:cs="Arial"/>
          <w:i/>
          <w:sz w:val="20"/>
          <w:szCs w:val="20"/>
        </w:rPr>
      </w:pPr>
    </w:p>
    <w:p w14:paraId="32AA7C1C" w14:textId="77777777" w:rsidR="00721003" w:rsidRPr="00F10FE5" w:rsidRDefault="00721003" w:rsidP="00721003">
      <w:pPr>
        <w:spacing w:after="0" w:line="240" w:lineRule="auto"/>
      </w:pPr>
      <w:r>
        <w:rPr>
          <w:rFonts w:ascii="Arial" w:hAnsi="Arial" w:cs="Arial"/>
          <w:sz w:val="20"/>
          <w:szCs w:val="20"/>
        </w:rPr>
        <w:t xml:space="preserve">Queensland Council of Social Service (2009) </w:t>
      </w:r>
      <w:r>
        <w:rPr>
          <w:rFonts w:ascii="Arial" w:hAnsi="Arial" w:cs="Arial"/>
          <w:i/>
          <w:sz w:val="20"/>
          <w:szCs w:val="20"/>
        </w:rPr>
        <w:t>Ageing – QCOSS Policy Position – November 2009</w:t>
      </w:r>
      <w:r>
        <w:rPr>
          <w:rFonts w:ascii="Arial" w:hAnsi="Arial" w:cs="Arial"/>
          <w:sz w:val="20"/>
          <w:szCs w:val="20"/>
        </w:rPr>
        <w:t xml:space="preserve">, Brisbane, Queensland: Queensland Council of Social Service, Retrieved from </w:t>
      </w:r>
      <w:hyperlink r:id="rId47" w:history="1">
        <w:r>
          <w:rPr>
            <w:rStyle w:val="Hyperlink"/>
            <w:rFonts w:ascii="Arial" w:hAnsi="Arial" w:cs="Arial"/>
            <w:sz w:val="20"/>
            <w:szCs w:val="20"/>
          </w:rPr>
          <w:t>www.qcoss.org.au/sites/default/files/QCOSS_Policy_Position_Nov_2009_Ageing_0.pdf</w:t>
        </w:r>
      </w:hyperlink>
    </w:p>
    <w:p w14:paraId="5167FACA" w14:textId="77777777" w:rsidR="00721003" w:rsidRDefault="00721003" w:rsidP="00721003">
      <w:pPr>
        <w:spacing w:after="0" w:line="240" w:lineRule="auto"/>
        <w:rPr>
          <w:rFonts w:ascii="Arial" w:hAnsi="Arial" w:cs="Arial"/>
          <w:sz w:val="20"/>
          <w:szCs w:val="20"/>
        </w:rPr>
      </w:pPr>
    </w:p>
    <w:p w14:paraId="4EBEBC15" w14:textId="4C0711D9" w:rsidR="00721003" w:rsidRDefault="00721003" w:rsidP="00721003">
      <w:pPr>
        <w:spacing w:after="0" w:line="240" w:lineRule="auto"/>
        <w:rPr>
          <w:rFonts w:ascii="Arial" w:hAnsi="Arial" w:cs="Arial"/>
          <w:sz w:val="20"/>
          <w:szCs w:val="20"/>
        </w:rPr>
      </w:pPr>
      <w:r>
        <w:rPr>
          <w:rFonts w:ascii="Arial" w:hAnsi="Arial" w:cs="Arial"/>
          <w:sz w:val="20"/>
          <w:szCs w:val="20"/>
        </w:rPr>
        <w:t xml:space="preserve">Queensland Council of Social Service (2016) Cost of Living Report – Special Edition: The cost of living and age pensioner households, Issue 4. Brisbane, Queensland: Queensland Council of Social Service, Retrieved from </w:t>
      </w:r>
      <w:hyperlink r:id="rId48" w:history="1">
        <w:r w:rsidRPr="00383339">
          <w:rPr>
            <w:rStyle w:val="Hyperlink"/>
            <w:rFonts w:ascii="Arial" w:hAnsi="Arial" w:cs="Arial"/>
            <w:sz w:val="20"/>
            <w:szCs w:val="20"/>
          </w:rPr>
          <w:t>www.qcoss.org.au/cost-living-and-age-pensioner-households-issue-4</w:t>
        </w:r>
      </w:hyperlink>
    </w:p>
    <w:p w14:paraId="282EDC95" w14:textId="77777777" w:rsidR="00721003" w:rsidRDefault="00721003" w:rsidP="00721003">
      <w:pPr>
        <w:spacing w:after="0" w:line="240" w:lineRule="auto"/>
        <w:rPr>
          <w:rFonts w:ascii="Arial" w:hAnsi="Arial" w:cs="Arial"/>
          <w:i/>
          <w:sz w:val="20"/>
          <w:szCs w:val="20"/>
        </w:rPr>
      </w:pPr>
    </w:p>
    <w:p w14:paraId="28D1043E" w14:textId="77777777" w:rsidR="00721003" w:rsidRDefault="00721003" w:rsidP="00721003">
      <w:pPr>
        <w:spacing w:after="0" w:line="240" w:lineRule="auto"/>
        <w:rPr>
          <w:rFonts w:ascii="Arial" w:hAnsi="Arial" w:cs="Arial"/>
          <w:iCs/>
          <w:sz w:val="20"/>
          <w:szCs w:val="20"/>
        </w:rPr>
      </w:pPr>
      <w:r>
        <w:rPr>
          <w:rFonts w:ascii="Arial" w:hAnsi="Arial" w:cs="Arial"/>
          <w:sz w:val="20"/>
          <w:szCs w:val="20"/>
        </w:rPr>
        <w:t xml:space="preserve">Queensland Government Statistician’s Office (2012) </w:t>
      </w:r>
      <w:r>
        <w:rPr>
          <w:rFonts w:ascii="Arial" w:hAnsi="Arial" w:cs="Arial"/>
          <w:i/>
          <w:sz w:val="20"/>
          <w:szCs w:val="20"/>
        </w:rPr>
        <w:t>Census 2011: Aboriginal and Torres Strait Islander Population in Queensland</w:t>
      </w:r>
      <w:r>
        <w:rPr>
          <w:rFonts w:ascii="Arial" w:hAnsi="Arial" w:cs="Arial"/>
          <w:sz w:val="20"/>
          <w:szCs w:val="20"/>
        </w:rPr>
        <w:t xml:space="preserve"> </w:t>
      </w:r>
      <w:r>
        <w:rPr>
          <w:rFonts w:ascii="Arial" w:hAnsi="Arial" w:cs="Arial"/>
          <w:i/>
          <w:iCs/>
          <w:sz w:val="20"/>
          <w:szCs w:val="20"/>
        </w:rPr>
        <w:t xml:space="preserve">2nd edition, </w:t>
      </w:r>
      <w:r>
        <w:rPr>
          <w:rFonts w:ascii="Arial" w:hAnsi="Arial" w:cs="Arial"/>
          <w:iCs/>
          <w:sz w:val="20"/>
          <w:szCs w:val="20"/>
        </w:rPr>
        <w:t xml:space="preserve">Brisbane, Queensland: Queensland Government, Retrieved from </w:t>
      </w:r>
      <w:hyperlink r:id="rId49" w:history="1">
        <w:r w:rsidRPr="00E56F45">
          <w:rPr>
            <w:rStyle w:val="Hyperlink"/>
            <w:rFonts w:ascii="Arial" w:hAnsi="Arial" w:cs="Arial"/>
            <w:iCs/>
            <w:sz w:val="20"/>
            <w:szCs w:val="20"/>
          </w:rPr>
          <w:t>www.qgso.qld.gov.au/products/reports/atsi-pop-qld-c11/atsi-pop-qld-c11.pdf</w:t>
        </w:r>
      </w:hyperlink>
    </w:p>
    <w:p w14:paraId="759C7644" w14:textId="77777777" w:rsidR="00721003" w:rsidRDefault="00721003" w:rsidP="00721003">
      <w:pPr>
        <w:spacing w:after="0" w:line="240" w:lineRule="auto"/>
        <w:rPr>
          <w:rFonts w:ascii="Arial" w:hAnsi="Arial" w:cs="Arial"/>
          <w:iCs/>
          <w:sz w:val="20"/>
          <w:szCs w:val="20"/>
        </w:rPr>
      </w:pPr>
    </w:p>
    <w:p w14:paraId="0E72144E" w14:textId="77777777" w:rsidR="00721003" w:rsidRDefault="00721003" w:rsidP="0072100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Queensland Government Statistician’s Office (2015) </w:t>
      </w:r>
      <w:r>
        <w:rPr>
          <w:rFonts w:ascii="Arial" w:hAnsi="Arial" w:cs="Arial"/>
          <w:i/>
          <w:sz w:val="20"/>
          <w:szCs w:val="20"/>
        </w:rPr>
        <w:t>Queensland Seniors, 2013-14,</w:t>
      </w:r>
      <w:r>
        <w:rPr>
          <w:rFonts w:ascii="Arial" w:hAnsi="Arial" w:cs="Arial"/>
          <w:iCs/>
          <w:sz w:val="20"/>
          <w:szCs w:val="20"/>
        </w:rPr>
        <w:t xml:space="preserve"> Brisbane, Queensland: </w:t>
      </w:r>
      <w:r>
        <w:rPr>
          <w:rFonts w:ascii="Arial" w:hAnsi="Arial" w:cs="Arial"/>
          <w:color w:val="000000"/>
          <w:sz w:val="20"/>
          <w:szCs w:val="20"/>
        </w:rPr>
        <w:t xml:space="preserve">Queensland Government, Retrieved from </w:t>
      </w:r>
      <w:hyperlink r:id="rId50" w:history="1">
        <w:r w:rsidRPr="00E56F45">
          <w:rPr>
            <w:rStyle w:val="Hyperlink"/>
            <w:rFonts w:ascii="Arial" w:hAnsi="Arial" w:cs="Arial"/>
            <w:sz w:val="20"/>
            <w:szCs w:val="20"/>
          </w:rPr>
          <w:t>www.qgso.qld.gov.au/products/reports/qld-seniors/qld-seniors-2013-14.pdf</w:t>
        </w:r>
      </w:hyperlink>
      <w:r>
        <w:rPr>
          <w:rFonts w:ascii="Arial" w:hAnsi="Arial" w:cs="Arial"/>
          <w:color w:val="000000"/>
          <w:sz w:val="20"/>
          <w:szCs w:val="20"/>
        </w:rPr>
        <w:t xml:space="preserve"> </w:t>
      </w:r>
    </w:p>
    <w:p w14:paraId="4981A2B7" w14:textId="77777777" w:rsidR="00721003" w:rsidRDefault="00721003" w:rsidP="00721003">
      <w:pPr>
        <w:autoSpaceDE w:val="0"/>
        <w:autoSpaceDN w:val="0"/>
        <w:adjustRightInd w:val="0"/>
        <w:spacing w:after="0" w:line="240" w:lineRule="auto"/>
        <w:rPr>
          <w:rFonts w:ascii="Arial" w:hAnsi="Arial" w:cs="Arial"/>
          <w:iCs/>
          <w:sz w:val="20"/>
          <w:szCs w:val="20"/>
        </w:rPr>
      </w:pPr>
    </w:p>
    <w:p w14:paraId="0D4C3108" w14:textId="77777777" w:rsidR="00721003" w:rsidRDefault="00721003" w:rsidP="00721003">
      <w:pPr>
        <w:spacing w:after="0"/>
        <w:rPr>
          <w:rFonts w:ascii="Arial" w:hAnsi="Arial" w:cs="Arial"/>
          <w:sz w:val="20"/>
          <w:szCs w:val="20"/>
        </w:rPr>
      </w:pPr>
      <w:r>
        <w:rPr>
          <w:rFonts w:ascii="Arial" w:hAnsi="Arial" w:cs="Arial"/>
          <w:sz w:val="20"/>
          <w:szCs w:val="20"/>
        </w:rPr>
        <w:t xml:space="preserve">Queensland Government Statistician’s Office (2013) </w:t>
      </w:r>
      <w:r>
        <w:rPr>
          <w:rFonts w:ascii="Arial" w:hAnsi="Arial" w:cs="Arial"/>
          <w:i/>
          <w:sz w:val="20"/>
          <w:szCs w:val="20"/>
        </w:rPr>
        <w:t xml:space="preserve">Census 2011: Older Queenslanders, </w:t>
      </w:r>
      <w:r>
        <w:rPr>
          <w:rFonts w:ascii="Arial" w:hAnsi="Arial" w:cs="Arial"/>
          <w:sz w:val="20"/>
          <w:szCs w:val="20"/>
        </w:rPr>
        <w:t xml:space="preserve">Brisbane, Queensland: Queensland Government, Retrieved from </w:t>
      </w:r>
      <w:hyperlink r:id="rId51" w:history="1">
        <w:r>
          <w:rPr>
            <w:rStyle w:val="Hyperlink"/>
            <w:rFonts w:ascii="Arial" w:hAnsi="Arial" w:cs="Arial"/>
            <w:sz w:val="20"/>
            <w:szCs w:val="20"/>
          </w:rPr>
          <w:t>www.qgso.qld.gov.au/subjects/demography/population-projections</w:t>
        </w:r>
      </w:hyperlink>
    </w:p>
    <w:p w14:paraId="3F01BE9F" w14:textId="77777777" w:rsidR="00721003" w:rsidRDefault="00721003" w:rsidP="00721003">
      <w:pPr>
        <w:spacing w:after="0" w:line="240" w:lineRule="auto"/>
        <w:rPr>
          <w:rFonts w:ascii="Arial" w:hAnsi="Arial" w:cs="Arial"/>
          <w:sz w:val="20"/>
          <w:szCs w:val="20"/>
        </w:rPr>
      </w:pPr>
    </w:p>
    <w:p w14:paraId="40FAB4E0"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National Rural Health Alliance (2013) </w:t>
      </w:r>
      <w:r>
        <w:rPr>
          <w:rFonts w:ascii="Arial" w:hAnsi="Arial" w:cs="Arial"/>
          <w:i/>
          <w:sz w:val="20"/>
          <w:szCs w:val="20"/>
        </w:rPr>
        <w:t>A Rural Perspective on Living Longer, Living Better,</w:t>
      </w:r>
      <w:r>
        <w:rPr>
          <w:rFonts w:ascii="Arial" w:hAnsi="Arial" w:cs="Arial"/>
          <w:sz w:val="20"/>
          <w:szCs w:val="20"/>
        </w:rPr>
        <w:t xml:space="preserve"> Deakin West, ACT: NRHA, Retrieved from </w:t>
      </w:r>
    </w:p>
    <w:p w14:paraId="6CF9CA6B" w14:textId="77777777" w:rsidR="00721003" w:rsidRDefault="005C0B55" w:rsidP="00721003">
      <w:pPr>
        <w:spacing w:after="0" w:line="240" w:lineRule="auto"/>
        <w:rPr>
          <w:rFonts w:ascii="Arial" w:hAnsi="Arial" w:cs="Arial"/>
          <w:sz w:val="20"/>
          <w:szCs w:val="20"/>
        </w:rPr>
      </w:pPr>
      <w:hyperlink r:id="rId52" w:history="1">
        <w:r w:rsidR="00721003">
          <w:rPr>
            <w:rStyle w:val="Hyperlink"/>
            <w:rFonts w:ascii="Arial" w:hAnsi="Arial" w:cs="Arial"/>
            <w:sz w:val="20"/>
            <w:szCs w:val="20"/>
          </w:rPr>
          <w:t>ruralhealth.org.au/sites/default/files/publications/nrha-factsheet-living-longer.pdf</w:t>
        </w:r>
      </w:hyperlink>
    </w:p>
    <w:p w14:paraId="45D74AEE" w14:textId="77777777" w:rsidR="00721003" w:rsidRDefault="00721003" w:rsidP="00721003">
      <w:pPr>
        <w:spacing w:after="0" w:line="240" w:lineRule="auto"/>
        <w:rPr>
          <w:rFonts w:ascii="Arial" w:hAnsi="Arial" w:cs="Arial"/>
          <w:color w:val="00B050"/>
          <w:sz w:val="20"/>
          <w:szCs w:val="20"/>
        </w:rPr>
      </w:pPr>
    </w:p>
    <w:p w14:paraId="6F62610D"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Suncorp Superannuation (2013) </w:t>
      </w:r>
      <w:r>
        <w:rPr>
          <w:rFonts w:ascii="Arial" w:hAnsi="Arial" w:cs="Arial"/>
          <w:i/>
          <w:sz w:val="20"/>
          <w:szCs w:val="20"/>
        </w:rPr>
        <w:t>Rise of the Grudge Workforce</w:t>
      </w:r>
      <w:r>
        <w:rPr>
          <w:rFonts w:ascii="Arial" w:hAnsi="Arial" w:cs="Arial"/>
          <w:sz w:val="20"/>
          <w:szCs w:val="20"/>
        </w:rPr>
        <w:t xml:space="preserve">, Brisbane, Queensland: Suncorp, Retrieved from </w:t>
      </w:r>
    </w:p>
    <w:p w14:paraId="2C3232B3" w14:textId="77777777" w:rsidR="00721003" w:rsidRDefault="005C0B55" w:rsidP="00721003">
      <w:pPr>
        <w:spacing w:after="0" w:line="240" w:lineRule="auto"/>
        <w:rPr>
          <w:rFonts w:ascii="Arial" w:hAnsi="Arial" w:cs="Arial"/>
          <w:sz w:val="20"/>
          <w:szCs w:val="20"/>
        </w:rPr>
      </w:pPr>
      <w:hyperlink r:id="rId53" w:history="1">
        <w:r w:rsidR="00721003">
          <w:rPr>
            <w:rStyle w:val="Hyperlink"/>
            <w:rFonts w:ascii="Arial" w:hAnsi="Arial" w:cs="Arial"/>
            <w:sz w:val="20"/>
            <w:szCs w:val="20"/>
          </w:rPr>
          <w:t>www.suncorpgroup.com.au/sites/default/files/pdf/news/Suncorp's%20The%20Grudge%20Years%20Report_FINAL.pdf</w:t>
        </w:r>
      </w:hyperlink>
    </w:p>
    <w:p w14:paraId="1CCFC3FD" w14:textId="77777777" w:rsidR="00721003" w:rsidRDefault="00721003" w:rsidP="00721003">
      <w:pPr>
        <w:spacing w:after="0"/>
        <w:rPr>
          <w:rFonts w:ascii="Arial" w:hAnsi="Arial" w:cs="Arial"/>
          <w:color w:val="0000FF" w:themeColor="hyperlink"/>
          <w:sz w:val="20"/>
          <w:szCs w:val="20"/>
          <w:u w:val="single"/>
        </w:rPr>
      </w:pPr>
    </w:p>
    <w:p w14:paraId="699E74E8" w14:textId="77777777" w:rsidR="00721003" w:rsidRDefault="00721003" w:rsidP="00721003">
      <w:pPr>
        <w:rPr>
          <w:rFonts w:ascii="Arial" w:hAnsi="Arial" w:cs="Arial"/>
          <w:sz w:val="20"/>
          <w:szCs w:val="20"/>
        </w:rPr>
      </w:pPr>
      <w:r>
        <w:rPr>
          <w:rFonts w:ascii="Arial" w:hAnsi="Arial" w:cs="Arial"/>
          <w:sz w:val="20"/>
          <w:szCs w:val="20"/>
        </w:rPr>
        <w:t xml:space="preserve">The Benevolent Society and Social Policy Research Centre (2013) </w:t>
      </w:r>
      <w:r>
        <w:rPr>
          <w:rFonts w:ascii="Arial" w:hAnsi="Arial" w:cs="Arial"/>
          <w:i/>
          <w:sz w:val="20"/>
          <w:szCs w:val="20"/>
        </w:rPr>
        <w:t>Supporting older people from culturally and linguistically diverse backgrounds</w:t>
      </w:r>
      <w:r>
        <w:rPr>
          <w:rFonts w:ascii="Arial" w:hAnsi="Arial" w:cs="Arial"/>
          <w:sz w:val="20"/>
          <w:szCs w:val="20"/>
        </w:rPr>
        <w:t xml:space="preserve">, Brisbane, Queensland: The Benevolent Society, Retrieved from </w:t>
      </w:r>
      <w:hyperlink r:id="rId54" w:history="1">
        <w:r w:rsidRPr="00E56F45">
          <w:rPr>
            <w:rStyle w:val="Hyperlink"/>
            <w:rFonts w:ascii="Arial" w:hAnsi="Arial" w:cs="Arial"/>
            <w:sz w:val="20"/>
            <w:szCs w:val="20"/>
          </w:rPr>
          <w:t>www.sprc.unsw.edu.au/media/SPRCFile/10_Report_BenSoc_ResearchtoPractice4.pdf</w:t>
        </w:r>
      </w:hyperlink>
      <w:r>
        <w:rPr>
          <w:rFonts w:ascii="Arial" w:hAnsi="Arial" w:cs="Arial"/>
          <w:sz w:val="20"/>
          <w:szCs w:val="20"/>
        </w:rPr>
        <w:t xml:space="preserve"> </w:t>
      </w:r>
    </w:p>
    <w:p w14:paraId="7EF7EABA"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The Senate Economics References Committee (2013) </w:t>
      </w:r>
      <w:r>
        <w:rPr>
          <w:rFonts w:ascii="Arial" w:hAnsi="Arial" w:cs="Arial"/>
          <w:i/>
          <w:sz w:val="20"/>
          <w:szCs w:val="20"/>
        </w:rPr>
        <w:t xml:space="preserve">Out of reach? The Australian Housing Affordability Challenge </w:t>
      </w:r>
      <w:r>
        <w:rPr>
          <w:rFonts w:ascii="Arial" w:hAnsi="Arial" w:cs="Arial"/>
          <w:sz w:val="20"/>
          <w:szCs w:val="20"/>
        </w:rPr>
        <w:t>Parliament of Australia, Retrieved from</w:t>
      </w:r>
    </w:p>
    <w:p w14:paraId="07F4EAD8" w14:textId="77777777" w:rsidR="00721003" w:rsidRDefault="005C0B55" w:rsidP="00721003">
      <w:pPr>
        <w:spacing w:after="0" w:line="240" w:lineRule="auto"/>
        <w:rPr>
          <w:rFonts w:ascii="Arial" w:hAnsi="Arial" w:cs="Arial"/>
          <w:sz w:val="20"/>
          <w:szCs w:val="20"/>
        </w:rPr>
      </w:pPr>
      <w:hyperlink r:id="rId55" w:history="1">
        <w:r w:rsidR="00721003">
          <w:rPr>
            <w:rStyle w:val="Hyperlink"/>
            <w:rFonts w:ascii="Arial" w:hAnsi="Arial" w:cs="Arial"/>
            <w:sz w:val="20"/>
            <w:szCs w:val="20"/>
          </w:rPr>
          <w:t>www.aph.gov.au/Parliamentary_Business/Committees/Senate/Economics/Affordable_housing_2013/Report</w:t>
        </w:r>
      </w:hyperlink>
    </w:p>
    <w:p w14:paraId="59E20AF4" w14:textId="77777777" w:rsidR="00721003" w:rsidRDefault="00721003" w:rsidP="00721003">
      <w:pPr>
        <w:spacing w:after="0"/>
        <w:rPr>
          <w:rFonts w:ascii="Arial" w:hAnsi="Arial" w:cs="Arial"/>
          <w:sz w:val="20"/>
          <w:szCs w:val="20"/>
        </w:rPr>
      </w:pPr>
    </w:p>
    <w:p w14:paraId="4FCB0C1B" w14:textId="77777777" w:rsidR="00721003" w:rsidRDefault="00721003" w:rsidP="00721003">
      <w:pPr>
        <w:spacing w:after="0"/>
        <w:rPr>
          <w:rFonts w:ascii="Arial" w:hAnsi="Arial" w:cs="Arial"/>
          <w:sz w:val="20"/>
          <w:szCs w:val="20"/>
          <w:lang w:val="es-ES"/>
        </w:rPr>
      </w:pPr>
      <w:r>
        <w:rPr>
          <w:rFonts w:ascii="Arial" w:hAnsi="Arial" w:cs="Arial"/>
          <w:sz w:val="20"/>
          <w:szCs w:val="20"/>
        </w:rPr>
        <w:t xml:space="preserve">Urbis (2013) </w:t>
      </w:r>
      <w:r>
        <w:rPr>
          <w:rFonts w:ascii="Arial" w:hAnsi="Arial" w:cs="Arial"/>
          <w:i/>
          <w:sz w:val="20"/>
          <w:szCs w:val="20"/>
        </w:rPr>
        <w:t>Does Australia have the right housing for older people?</w:t>
      </w:r>
      <w:r>
        <w:rPr>
          <w:rFonts w:ascii="Arial" w:hAnsi="Arial" w:cs="Arial"/>
          <w:sz w:val="20"/>
          <w:szCs w:val="20"/>
        </w:rPr>
        <w:t xml:space="preserve"> </w:t>
      </w:r>
      <w:r>
        <w:rPr>
          <w:rFonts w:ascii="Arial" w:hAnsi="Arial" w:cs="Arial"/>
          <w:sz w:val="20"/>
          <w:szCs w:val="20"/>
          <w:lang w:val="es-ES"/>
        </w:rPr>
        <w:t>Census 2011, Paper No. 3. Urbis. 2013</w:t>
      </w:r>
      <w:r>
        <w:t xml:space="preserve">, </w:t>
      </w:r>
      <w:r>
        <w:rPr>
          <w:rFonts w:ascii="Arial" w:hAnsi="Arial" w:cs="Arial"/>
          <w:sz w:val="20"/>
          <w:szCs w:val="20"/>
        </w:rPr>
        <w:t>Retrieved from</w:t>
      </w:r>
      <w:r>
        <w:t xml:space="preserve"> </w:t>
      </w:r>
      <w:hyperlink r:id="rId56" w:history="1">
        <w:r>
          <w:rPr>
            <w:rStyle w:val="Hyperlink"/>
            <w:rFonts w:ascii="Arial" w:hAnsi="Arial" w:cs="Arial"/>
            <w:sz w:val="20"/>
            <w:szCs w:val="20"/>
            <w:lang w:val="es-ES"/>
          </w:rPr>
          <w:t>www.urbis.com.au/think-tank/white-papers/does-australia-have-the-right-housing-for-older-people</w:t>
        </w:r>
      </w:hyperlink>
    </w:p>
    <w:p w14:paraId="3B9C3D01" w14:textId="77777777" w:rsidR="00721003" w:rsidRDefault="00721003" w:rsidP="00721003">
      <w:pPr>
        <w:spacing w:after="0" w:line="240" w:lineRule="auto"/>
        <w:rPr>
          <w:rFonts w:ascii="Arial" w:hAnsi="Arial" w:cs="Arial"/>
          <w:sz w:val="20"/>
          <w:szCs w:val="20"/>
        </w:rPr>
      </w:pPr>
    </w:p>
    <w:p w14:paraId="73DD16FE" w14:textId="77777777" w:rsidR="00721003" w:rsidRDefault="00721003" w:rsidP="00721003">
      <w:pPr>
        <w:rPr>
          <w:rFonts w:ascii="Arial" w:hAnsi="Arial" w:cs="Arial"/>
          <w:sz w:val="20"/>
          <w:szCs w:val="20"/>
        </w:rPr>
      </w:pPr>
      <w:r>
        <w:rPr>
          <w:rFonts w:ascii="Arial" w:hAnsi="Arial" w:cs="Arial"/>
          <w:sz w:val="20"/>
          <w:szCs w:val="20"/>
        </w:rPr>
        <w:t xml:space="preserve">Baldwin, C., Osborne, C., and Smith, P., (2012) </w:t>
      </w:r>
      <w:r>
        <w:rPr>
          <w:rFonts w:ascii="Arial" w:hAnsi="Arial" w:cs="Arial"/>
          <w:i/>
          <w:sz w:val="20"/>
          <w:szCs w:val="20"/>
        </w:rPr>
        <w:t>Infill Development for Older Australians in South East Queensland: An analysis of the preferences of older people in the urban environment</w:t>
      </w:r>
      <w:r>
        <w:rPr>
          <w:rFonts w:ascii="Arial" w:hAnsi="Arial" w:cs="Arial"/>
          <w:sz w:val="20"/>
          <w:szCs w:val="20"/>
        </w:rPr>
        <w:t>, Sunshine Coast, Queensland: University of the Sunshine Coast</w:t>
      </w:r>
      <w:r>
        <w:t xml:space="preserve">, </w:t>
      </w:r>
      <w:r>
        <w:rPr>
          <w:rFonts w:ascii="Arial" w:hAnsi="Arial" w:cs="Arial"/>
          <w:sz w:val="20"/>
          <w:szCs w:val="20"/>
        </w:rPr>
        <w:t>Retrieved from</w:t>
      </w:r>
      <w:r>
        <w:t xml:space="preserve"> </w:t>
      </w:r>
      <w:hyperlink r:id="rId57" w:history="1">
        <w:r>
          <w:rPr>
            <w:rStyle w:val="Hyperlink"/>
            <w:rFonts w:ascii="Arial" w:hAnsi="Arial" w:cs="Arial"/>
            <w:sz w:val="20"/>
            <w:szCs w:val="20"/>
          </w:rPr>
          <w:t>www.usc.edu.au/media/3748/Infill_Development_Report_Part1.pdf</w:t>
        </w:r>
      </w:hyperlink>
    </w:p>
    <w:p w14:paraId="03C800FE" w14:textId="77777777" w:rsidR="00721003" w:rsidRDefault="00721003" w:rsidP="00721003">
      <w:pPr>
        <w:spacing w:after="0" w:line="240" w:lineRule="auto"/>
        <w:rPr>
          <w:rFonts w:ascii="Arial" w:hAnsi="Arial" w:cs="Arial"/>
          <w:color w:val="0000FF" w:themeColor="hyperlink"/>
          <w:sz w:val="20"/>
          <w:szCs w:val="20"/>
          <w:u w:val="single"/>
        </w:rPr>
      </w:pPr>
      <w:r>
        <w:rPr>
          <w:rFonts w:ascii="Arial" w:hAnsi="Arial" w:cs="Arial"/>
          <w:sz w:val="20"/>
          <w:szCs w:val="20"/>
        </w:rPr>
        <w:t xml:space="preserve">Clare, R. (2014) </w:t>
      </w:r>
      <w:r>
        <w:rPr>
          <w:rFonts w:ascii="Arial" w:hAnsi="Arial" w:cs="Arial"/>
          <w:i/>
          <w:sz w:val="20"/>
          <w:szCs w:val="20"/>
        </w:rPr>
        <w:t>An update on the level and distribution of retirement savings</w:t>
      </w:r>
      <w:r>
        <w:rPr>
          <w:rFonts w:ascii="Arial" w:hAnsi="Arial" w:cs="Arial"/>
          <w:sz w:val="20"/>
          <w:szCs w:val="20"/>
        </w:rPr>
        <w:t>. Association of Superannuation Funds of Australia Research and Resource Centre, Sydne</w:t>
      </w:r>
      <w:r>
        <w:t xml:space="preserve">y: NSW.  </w:t>
      </w:r>
    </w:p>
    <w:p w14:paraId="2ADAC759" w14:textId="77777777" w:rsidR="00721003" w:rsidRDefault="00721003" w:rsidP="00721003">
      <w:pPr>
        <w:spacing w:after="0" w:line="240" w:lineRule="auto"/>
        <w:rPr>
          <w:rFonts w:ascii="Arial" w:hAnsi="Arial" w:cs="Arial"/>
          <w:sz w:val="20"/>
          <w:szCs w:val="20"/>
        </w:rPr>
      </w:pPr>
    </w:p>
    <w:p w14:paraId="261E6837"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Gabriel, M., Faulkner, D. and Stirling, C. (2015) </w:t>
      </w:r>
      <w:r>
        <w:rPr>
          <w:rFonts w:ascii="Arial" w:hAnsi="Arial" w:cs="Arial"/>
          <w:i/>
          <w:sz w:val="20"/>
          <w:szCs w:val="20"/>
        </w:rPr>
        <w:t>Housing priorities of people with dementia: security, continuity and support, AHURI Final Report No.242</w:t>
      </w:r>
      <w:r>
        <w:rPr>
          <w:rFonts w:ascii="Arial" w:hAnsi="Arial" w:cs="Arial"/>
          <w:sz w:val="20"/>
          <w:szCs w:val="20"/>
        </w:rPr>
        <w:t xml:space="preserve">, Melbourne, VIC: Australian Housing and Urban Research Institute, Retrieved from </w:t>
      </w:r>
      <w:hyperlink r:id="rId58" w:history="1">
        <w:r>
          <w:rPr>
            <w:rStyle w:val="Hyperlink"/>
            <w:rFonts w:ascii="Arial" w:hAnsi="Arial" w:cs="Arial"/>
            <w:sz w:val="20"/>
            <w:szCs w:val="20"/>
          </w:rPr>
          <w:t>www.ahuri.edu.au/publications/projects/p41022</w:t>
        </w:r>
      </w:hyperlink>
      <w:r>
        <w:rPr>
          <w:rFonts w:ascii="Arial" w:hAnsi="Arial" w:cs="Arial"/>
          <w:sz w:val="20"/>
          <w:szCs w:val="20"/>
        </w:rPr>
        <w:t xml:space="preserve"> </w:t>
      </w:r>
    </w:p>
    <w:p w14:paraId="7790D95F" w14:textId="77777777" w:rsidR="00721003" w:rsidRDefault="00721003" w:rsidP="00721003">
      <w:pPr>
        <w:spacing w:after="0" w:line="240" w:lineRule="auto"/>
        <w:rPr>
          <w:rFonts w:ascii="Arial" w:hAnsi="Arial" w:cs="Arial"/>
          <w:sz w:val="20"/>
          <w:szCs w:val="20"/>
        </w:rPr>
      </w:pPr>
    </w:p>
    <w:p w14:paraId="0AF01816"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Gilbert, H., (2012) </w:t>
      </w:r>
      <w:r>
        <w:rPr>
          <w:rFonts w:ascii="Arial" w:hAnsi="Arial" w:cs="Arial"/>
          <w:i/>
          <w:sz w:val="20"/>
          <w:szCs w:val="20"/>
        </w:rPr>
        <w:t>The Loss of Low Cost Coastal Caravan Parks – Causes, Cases and Social Consequences</w:t>
      </w:r>
      <w:r>
        <w:rPr>
          <w:rFonts w:ascii="Arial" w:hAnsi="Arial" w:cs="Arial"/>
          <w:sz w:val="20"/>
          <w:szCs w:val="20"/>
        </w:rPr>
        <w:t xml:space="preserve">, School of the Built Environment, University of Technology, NSW, Retrieved from   </w:t>
      </w:r>
      <w:hyperlink r:id="rId59" w:history="1">
        <w:r>
          <w:rPr>
            <w:rStyle w:val="Hyperlink"/>
            <w:rFonts w:ascii="Arial" w:hAnsi="Arial" w:cs="Arial"/>
            <w:sz w:val="20"/>
            <w:szCs w:val="20"/>
          </w:rPr>
          <w:t>www.soacconference.com.au/wp-content/uploads/2013/12/Gilbert-Social.pdf</w:t>
        </w:r>
      </w:hyperlink>
    </w:p>
    <w:p w14:paraId="37D8C029" w14:textId="77777777" w:rsidR="00721003" w:rsidRDefault="00721003" w:rsidP="00721003">
      <w:pPr>
        <w:spacing w:after="0" w:line="240" w:lineRule="auto"/>
        <w:rPr>
          <w:rFonts w:ascii="Arial" w:hAnsi="Arial" w:cs="Arial"/>
          <w:sz w:val="20"/>
          <w:szCs w:val="20"/>
        </w:rPr>
      </w:pPr>
    </w:p>
    <w:p w14:paraId="1150B944"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Harmer, J., (2009) </w:t>
      </w:r>
      <w:r>
        <w:rPr>
          <w:rFonts w:ascii="Arial" w:hAnsi="Arial" w:cs="Arial"/>
          <w:i/>
          <w:iCs/>
          <w:sz w:val="20"/>
          <w:szCs w:val="20"/>
        </w:rPr>
        <w:t>Pension Review Report</w:t>
      </w:r>
      <w:r>
        <w:rPr>
          <w:rFonts w:ascii="Arial" w:hAnsi="Arial" w:cs="Arial"/>
          <w:sz w:val="20"/>
          <w:szCs w:val="20"/>
        </w:rPr>
        <w:t>, Department of Families, Housing, Community Services and Indigenous Affairs, Commonwealth of Australia: Canberra, ACT, Retrieved from</w:t>
      </w:r>
    </w:p>
    <w:p w14:paraId="60E02D68" w14:textId="77777777" w:rsidR="00721003" w:rsidRDefault="005C0B55" w:rsidP="00721003">
      <w:pPr>
        <w:spacing w:after="0" w:line="240" w:lineRule="auto"/>
        <w:rPr>
          <w:rFonts w:ascii="Arial" w:hAnsi="Arial" w:cs="Arial"/>
          <w:sz w:val="20"/>
          <w:szCs w:val="20"/>
        </w:rPr>
      </w:pPr>
      <w:hyperlink r:id="rId60" w:history="1">
        <w:r w:rsidR="00721003">
          <w:rPr>
            <w:rStyle w:val="Hyperlink"/>
            <w:rFonts w:ascii="Arial" w:hAnsi="Arial" w:cs="Arial"/>
            <w:sz w:val="20"/>
            <w:szCs w:val="20"/>
          </w:rPr>
          <w:t>www.dss.gov.au/about-the-department/publications-articles/corporate-publications/budget-and-additional-estimates-statements/pension-review-report</w:t>
        </w:r>
      </w:hyperlink>
    </w:p>
    <w:p w14:paraId="133AE878" w14:textId="77777777" w:rsidR="00721003" w:rsidRDefault="00721003" w:rsidP="00721003">
      <w:pPr>
        <w:spacing w:after="0" w:line="240" w:lineRule="auto"/>
        <w:rPr>
          <w:rFonts w:ascii="Arial" w:hAnsi="Arial" w:cs="Arial"/>
          <w:sz w:val="20"/>
          <w:szCs w:val="20"/>
        </w:rPr>
      </w:pPr>
    </w:p>
    <w:p w14:paraId="55F4F678" w14:textId="77777777" w:rsidR="00721003" w:rsidRDefault="00721003" w:rsidP="00721003">
      <w:pPr>
        <w:pStyle w:val="FootnoteText"/>
        <w:rPr>
          <w:rFonts w:ascii="Arial" w:hAnsi="Arial" w:cs="Arial"/>
        </w:rPr>
      </w:pPr>
      <w:r>
        <w:rPr>
          <w:rFonts w:ascii="Arial" w:hAnsi="Arial" w:cs="Arial"/>
        </w:rPr>
        <w:t xml:space="preserve">Healy, J. (2004) </w:t>
      </w:r>
      <w:r>
        <w:rPr>
          <w:rFonts w:ascii="Arial" w:hAnsi="Arial" w:cs="Arial"/>
          <w:i/>
        </w:rPr>
        <w:t xml:space="preserve">The Benefits of an Ageing Population, </w:t>
      </w:r>
      <w:r>
        <w:rPr>
          <w:rFonts w:ascii="Arial" w:hAnsi="Arial" w:cs="Arial"/>
        </w:rPr>
        <w:t xml:space="preserve">The Australia Institute, Australian National University, Retrieved from </w:t>
      </w:r>
      <w:hyperlink r:id="rId61" w:history="1">
        <w:r w:rsidRPr="00E56F45">
          <w:rPr>
            <w:rStyle w:val="Hyperlink"/>
            <w:rFonts w:ascii="Arial" w:hAnsi="Arial" w:cs="Arial"/>
          </w:rPr>
          <w:t>www.tai.org.au/documents/dp_fulltext/DP63.pdf</w:t>
        </w:r>
      </w:hyperlink>
      <w:r>
        <w:rPr>
          <w:rFonts w:ascii="Arial" w:hAnsi="Arial" w:cs="Arial"/>
        </w:rPr>
        <w:t xml:space="preserve">  </w:t>
      </w:r>
    </w:p>
    <w:p w14:paraId="31A0403F" w14:textId="77777777" w:rsidR="00721003" w:rsidRDefault="00721003" w:rsidP="00721003">
      <w:pPr>
        <w:spacing w:after="0" w:line="240" w:lineRule="auto"/>
        <w:rPr>
          <w:rFonts w:ascii="Arial" w:hAnsi="Arial" w:cs="Arial"/>
          <w:sz w:val="20"/>
          <w:szCs w:val="20"/>
        </w:rPr>
      </w:pPr>
    </w:p>
    <w:p w14:paraId="6BCD84E1" w14:textId="77777777" w:rsidR="00721003" w:rsidRPr="0071486F" w:rsidRDefault="00721003" w:rsidP="00721003">
      <w:pPr>
        <w:spacing w:after="0" w:line="240" w:lineRule="auto"/>
        <w:rPr>
          <w:rFonts w:ascii="Arial" w:hAnsi="Arial" w:cs="Arial"/>
          <w:sz w:val="20"/>
          <w:szCs w:val="20"/>
        </w:rPr>
      </w:pPr>
      <w:r>
        <w:rPr>
          <w:rFonts w:ascii="Arial" w:hAnsi="Arial" w:cs="Arial"/>
          <w:sz w:val="20"/>
          <w:szCs w:val="20"/>
        </w:rPr>
        <w:t xml:space="preserve">Hu, X., Bo, X., Skitmore, M., and Buys, L. (2015) </w:t>
      </w:r>
      <w:r>
        <w:rPr>
          <w:rFonts w:ascii="Arial" w:hAnsi="Arial" w:cs="Arial"/>
          <w:i/>
          <w:sz w:val="20"/>
          <w:szCs w:val="20"/>
        </w:rPr>
        <w:t>Conceptualizing Sustainable Retirement Villages in Australia</w:t>
      </w:r>
      <w:r>
        <w:rPr>
          <w:rFonts w:ascii="Arial" w:hAnsi="Arial" w:cs="Arial"/>
          <w:sz w:val="20"/>
          <w:szCs w:val="20"/>
        </w:rPr>
        <w:t xml:space="preserve">, In </w:t>
      </w:r>
      <w:r>
        <w:rPr>
          <w:rFonts w:ascii="Arial" w:hAnsi="Arial" w:cs="Arial"/>
          <w:i/>
          <w:sz w:val="20"/>
          <w:szCs w:val="20"/>
        </w:rPr>
        <w:t>Proceedings of the 31</w:t>
      </w:r>
      <w:r w:rsidRPr="0071486F">
        <w:rPr>
          <w:rFonts w:ascii="Arial" w:hAnsi="Arial" w:cs="Arial"/>
          <w:i/>
          <w:sz w:val="20"/>
          <w:szCs w:val="20"/>
          <w:vertAlign w:val="superscript"/>
        </w:rPr>
        <w:t>st</w:t>
      </w:r>
      <w:r>
        <w:rPr>
          <w:rFonts w:ascii="Arial" w:hAnsi="Arial" w:cs="Arial"/>
          <w:i/>
          <w:sz w:val="20"/>
          <w:szCs w:val="20"/>
        </w:rPr>
        <w:t xml:space="preserve"> Annual ARCOM Conference, </w:t>
      </w:r>
      <w:r>
        <w:rPr>
          <w:rFonts w:ascii="Arial" w:hAnsi="Arial" w:cs="Arial"/>
          <w:sz w:val="20"/>
          <w:szCs w:val="20"/>
        </w:rPr>
        <w:t>Association of Researchers in Construction Management, The University of Lincoln, Lincoln, UK, pp. 357 - 366</w:t>
      </w:r>
    </w:p>
    <w:p w14:paraId="466F9D54" w14:textId="77777777" w:rsidR="00721003" w:rsidRDefault="00721003" w:rsidP="00721003">
      <w:pPr>
        <w:spacing w:before="120" w:after="120" w:line="240" w:lineRule="auto"/>
        <w:rPr>
          <w:rFonts w:ascii="Arial" w:hAnsi="Arial" w:cs="Arial"/>
          <w:iCs/>
          <w:color w:val="0000FF" w:themeColor="hyperlink"/>
          <w:sz w:val="20"/>
          <w:szCs w:val="20"/>
          <w:u w:val="single"/>
        </w:rPr>
      </w:pPr>
      <w:r>
        <w:rPr>
          <w:rFonts w:ascii="Arial" w:hAnsi="Arial" w:cs="Arial"/>
          <w:sz w:val="20"/>
          <w:szCs w:val="20"/>
        </w:rPr>
        <w:t xml:space="preserve">Judd, B., (Presenter). (25 Nov 2014) </w:t>
      </w:r>
      <w:r>
        <w:rPr>
          <w:rFonts w:ascii="Arial" w:hAnsi="Arial" w:cs="Arial"/>
          <w:i/>
          <w:sz w:val="20"/>
          <w:szCs w:val="20"/>
        </w:rPr>
        <w:t xml:space="preserve">Ageing well: housing solutions for older Australians – Housing utilisation and downsizing amongst older Australians, </w:t>
      </w:r>
      <w:r>
        <w:rPr>
          <w:rFonts w:ascii="Arial" w:hAnsi="Arial" w:cs="Arial"/>
          <w:sz w:val="20"/>
          <w:szCs w:val="20"/>
        </w:rPr>
        <w:t xml:space="preserve">[Audio Presentation] Retrieved from </w:t>
      </w:r>
      <w:hyperlink r:id="rId62" w:history="1">
        <w:r>
          <w:rPr>
            <w:rStyle w:val="Hyperlink"/>
            <w:rFonts w:ascii="Arial" w:hAnsi="Arial" w:cs="Arial"/>
            <w:sz w:val="20"/>
            <w:szCs w:val="20"/>
          </w:rPr>
          <w:t>www.ahuri.edu.au/research/resources/audio/housing-utilisation-and-downsizing-amongst-older-Australians</w:t>
        </w:r>
      </w:hyperlink>
      <w:r>
        <w:rPr>
          <w:rFonts w:ascii="Arial" w:hAnsi="Arial" w:cs="Arial"/>
          <w:sz w:val="20"/>
          <w:szCs w:val="20"/>
        </w:rPr>
        <w:t xml:space="preserve">   </w:t>
      </w:r>
    </w:p>
    <w:p w14:paraId="42F38771" w14:textId="77777777" w:rsidR="00721003" w:rsidRDefault="00721003" w:rsidP="00721003">
      <w:pPr>
        <w:spacing w:before="120" w:after="120" w:line="240" w:lineRule="auto"/>
        <w:rPr>
          <w:rFonts w:ascii="Arial" w:eastAsia="Times New Roman" w:hAnsi="Arial" w:cs="Arial"/>
          <w:color w:val="484848"/>
          <w:sz w:val="20"/>
          <w:szCs w:val="20"/>
          <w:lang w:eastAsia="en-AU"/>
        </w:rPr>
      </w:pPr>
      <w:r>
        <w:rPr>
          <w:rFonts w:ascii="Arial" w:eastAsia="Times New Roman" w:hAnsi="Arial" w:cs="Arial"/>
          <w:sz w:val="20"/>
          <w:szCs w:val="20"/>
          <w:lang w:eastAsia="en-AU"/>
        </w:rPr>
        <w:lastRenderedPageBreak/>
        <w:t>Judd, B., Liu, E., Easthope, H., Davy, L. and Bridge, C. (2014) </w:t>
      </w:r>
      <w:r>
        <w:rPr>
          <w:rFonts w:ascii="Arial" w:eastAsia="Times New Roman" w:hAnsi="Arial" w:cs="Arial"/>
          <w:i/>
          <w:iCs/>
          <w:sz w:val="20"/>
          <w:szCs w:val="20"/>
          <w:lang w:eastAsia="en-AU"/>
        </w:rPr>
        <w:t>Downsizing amongst older Australians</w:t>
      </w:r>
      <w:r>
        <w:rPr>
          <w:rFonts w:ascii="Arial" w:eastAsia="Times New Roman" w:hAnsi="Arial" w:cs="Arial"/>
          <w:sz w:val="20"/>
          <w:szCs w:val="20"/>
          <w:lang w:eastAsia="en-AU"/>
        </w:rPr>
        <w:t xml:space="preserve">, AHURI Final Report No. 214, Australian Housing and Urban Research Institute Limited, Melbourne, </w:t>
      </w:r>
      <w:hyperlink r:id="rId63" w:history="1">
        <w:r w:rsidRPr="00E56F45">
          <w:rPr>
            <w:rStyle w:val="Hyperlink"/>
            <w:rFonts w:ascii="Arial" w:eastAsia="Times New Roman" w:hAnsi="Arial" w:cs="Arial"/>
            <w:sz w:val="20"/>
            <w:szCs w:val="20"/>
            <w:lang w:eastAsia="en-AU"/>
          </w:rPr>
          <w:t>www.ahuri.edu.au/research/final-reports/214</w:t>
        </w:r>
      </w:hyperlink>
      <w:r>
        <w:rPr>
          <w:rFonts w:ascii="Arial" w:eastAsia="Times New Roman" w:hAnsi="Arial" w:cs="Arial"/>
          <w:sz w:val="20"/>
          <w:szCs w:val="20"/>
          <w:lang w:eastAsia="en-AU"/>
        </w:rPr>
        <w:t xml:space="preserve"> </w:t>
      </w:r>
    </w:p>
    <w:p w14:paraId="139FD16C"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Judd, B., Olsberg, D., Quinn J., et al, (2010) </w:t>
      </w:r>
      <w:r>
        <w:rPr>
          <w:rFonts w:ascii="Arial" w:hAnsi="Arial" w:cs="Arial"/>
          <w:i/>
          <w:sz w:val="20"/>
          <w:szCs w:val="20"/>
        </w:rPr>
        <w:t>Dwelling, land and neighbourhood use by older home owners</w:t>
      </w:r>
      <w:r>
        <w:rPr>
          <w:rFonts w:ascii="Arial" w:hAnsi="Arial" w:cs="Arial"/>
          <w:sz w:val="20"/>
          <w:szCs w:val="20"/>
        </w:rPr>
        <w:t xml:space="preserve">, AHURI Final Report No. 144, Australian Housing and Urban Research Institute, Melbourne, Retrieved from </w:t>
      </w:r>
    </w:p>
    <w:p w14:paraId="7531C7C4" w14:textId="77777777" w:rsidR="00721003" w:rsidRDefault="005C0B55" w:rsidP="00721003">
      <w:pPr>
        <w:spacing w:after="0" w:line="240" w:lineRule="auto"/>
        <w:rPr>
          <w:rFonts w:ascii="Arial" w:hAnsi="Arial" w:cs="Arial"/>
          <w:sz w:val="20"/>
          <w:szCs w:val="20"/>
        </w:rPr>
      </w:pPr>
      <w:hyperlink r:id="rId64" w:history="1">
        <w:r w:rsidR="00721003">
          <w:rPr>
            <w:rStyle w:val="Hyperlink"/>
            <w:rFonts w:ascii="Arial" w:hAnsi="Arial" w:cs="Arial"/>
            <w:sz w:val="20"/>
            <w:szCs w:val="20"/>
          </w:rPr>
          <w:t>www.be.unsw.edu.au/sites/default/files/upload/pdf/cf/research/ahuriprojects/theefficienuseofdwellings/FR144.pdf</w:t>
        </w:r>
      </w:hyperlink>
    </w:p>
    <w:p w14:paraId="11C99880" w14:textId="77777777" w:rsidR="00721003" w:rsidRDefault="00721003" w:rsidP="00721003">
      <w:pPr>
        <w:spacing w:after="0" w:line="240" w:lineRule="auto"/>
        <w:rPr>
          <w:rFonts w:ascii="Arial" w:hAnsi="Arial" w:cs="Arial"/>
          <w:sz w:val="20"/>
          <w:szCs w:val="20"/>
        </w:rPr>
      </w:pPr>
    </w:p>
    <w:p w14:paraId="7DEC285C"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Judd, B., et. al. (2014) </w:t>
      </w:r>
      <w:r>
        <w:rPr>
          <w:rFonts w:ascii="Arial" w:hAnsi="Arial" w:cs="Arial"/>
          <w:i/>
          <w:sz w:val="20"/>
          <w:szCs w:val="20"/>
        </w:rPr>
        <w:t xml:space="preserve">Downsizing amongst older Australians, </w:t>
      </w:r>
      <w:r>
        <w:rPr>
          <w:rFonts w:ascii="Arial" w:hAnsi="Arial" w:cs="Arial"/>
          <w:sz w:val="20"/>
          <w:szCs w:val="20"/>
        </w:rPr>
        <w:t xml:space="preserve">AHURI Positioning Paper No. 150. Melbourne: Austrailan Housing and Urban Research Institute </w:t>
      </w:r>
    </w:p>
    <w:p w14:paraId="67D544A9" w14:textId="77777777" w:rsidR="00721003" w:rsidRDefault="005C0B55" w:rsidP="00721003">
      <w:pPr>
        <w:spacing w:after="0" w:line="240" w:lineRule="auto"/>
        <w:rPr>
          <w:rFonts w:ascii="Arial" w:hAnsi="Arial" w:cs="Arial"/>
          <w:sz w:val="20"/>
          <w:szCs w:val="20"/>
        </w:rPr>
      </w:pPr>
      <w:hyperlink r:id="rId65" w:history="1">
        <w:r w:rsidR="00721003">
          <w:rPr>
            <w:rStyle w:val="Hyperlink"/>
            <w:rFonts w:ascii="Arial" w:hAnsi="Arial" w:cs="Arial"/>
            <w:sz w:val="20"/>
            <w:szCs w:val="20"/>
          </w:rPr>
          <w:t>www.be.unsw.edu.au/sites/default/files/upload/research/centres/cf/publications/ahuriprojectreports/AHURI_Positioning_Paper_No150.pdf</w:t>
        </w:r>
      </w:hyperlink>
    </w:p>
    <w:p w14:paraId="7BB7EF2B" w14:textId="77777777" w:rsidR="00721003" w:rsidRDefault="00721003" w:rsidP="00721003">
      <w:pPr>
        <w:spacing w:after="0" w:line="240" w:lineRule="auto"/>
        <w:rPr>
          <w:rFonts w:ascii="Arial" w:hAnsi="Arial" w:cs="Arial"/>
          <w:sz w:val="20"/>
          <w:szCs w:val="20"/>
        </w:rPr>
      </w:pPr>
    </w:p>
    <w:p w14:paraId="5A5F346A"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Jones, A., et. al. (2007). </w:t>
      </w:r>
      <w:r>
        <w:rPr>
          <w:rFonts w:ascii="Arial" w:hAnsi="Arial" w:cs="Arial"/>
          <w:i/>
          <w:iCs/>
          <w:sz w:val="20"/>
          <w:szCs w:val="20"/>
        </w:rPr>
        <w:t>Rental housing provision for lower-income older Australians</w:t>
      </w:r>
      <w:r>
        <w:rPr>
          <w:rFonts w:ascii="Arial" w:hAnsi="Arial" w:cs="Arial"/>
          <w:sz w:val="20"/>
          <w:szCs w:val="20"/>
        </w:rPr>
        <w:t xml:space="preserve">, AHURI Final Report No. 98, Australian Housing and Urban Research Institute, Research Institute Limited, Melbourne, Retrieved from </w:t>
      </w:r>
      <w:hyperlink r:id="rId66" w:history="1">
        <w:r w:rsidRPr="0071486F">
          <w:rPr>
            <w:rStyle w:val="Hyperlink"/>
            <w:rFonts w:ascii="Arial" w:hAnsi="Arial" w:cs="Arial"/>
            <w:sz w:val="20"/>
            <w:szCs w:val="20"/>
          </w:rPr>
          <w:t>www.ahuri.edu.au/research/final-reports/98</w:t>
        </w:r>
      </w:hyperlink>
      <w:r>
        <w:rPr>
          <w:rFonts w:ascii="Arial" w:hAnsi="Arial" w:cs="Arial"/>
          <w:color w:val="484848"/>
        </w:rPr>
        <w:t xml:space="preserve"> </w:t>
      </w:r>
    </w:p>
    <w:p w14:paraId="116AA0A6" w14:textId="77777777" w:rsidR="00721003" w:rsidRDefault="00721003" w:rsidP="00721003">
      <w:pPr>
        <w:spacing w:after="0" w:line="240" w:lineRule="auto"/>
        <w:rPr>
          <w:rFonts w:ascii="Arial" w:hAnsi="Arial" w:cs="Arial"/>
          <w:sz w:val="20"/>
          <w:szCs w:val="20"/>
        </w:rPr>
      </w:pPr>
    </w:p>
    <w:p w14:paraId="42A1C77D"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Jones, A., Howe, A., Tilse, C., Bartlett, H., and Stimson B. (2010), </w:t>
      </w:r>
      <w:r>
        <w:rPr>
          <w:rFonts w:ascii="Arial" w:hAnsi="Arial" w:cs="Arial"/>
          <w:i/>
          <w:sz w:val="20"/>
          <w:szCs w:val="20"/>
        </w:rPr>
        <w:t>Service integrated housing for Australians in later life</w:t>
      </w:r>
      <w:r>
        <w:rPr>
          <w:rFonts w:ascii="Arial" w:hAnsi="Arial" w:cs="Arial"/>
          <w:sz w:val="20"/>
          <w:szCs w:val="20"/>
        </w:rPr>
        <w:t xml:space="preserve">, AHURI Final Report No. 141. Melbourne, </w:t>
      </w:r>
      <w:hyperlink r:id="rId67" w:history="1">
        <w:r w:rsidRPr="00E56F45">
          <w:rPr>
            <w:rStyle w:val="Hyperlink"/>
            <w:rFonts w:ascii="Arial" w:hAnsi="Arial" w:cs="Arial"/>
            <w:sz w:val="20"/>
            <w:szCs w:val="20"/>
          </w:rPr>
          <w:t>www.ahuri.edu.au/research/final-reports/141</w:t>
        </w:r>
      </w:hyperlink>
      <w:r>
        <w:rPr>
          <w:rFonts w:ascii="Arial" w:hAnsi="Arial" w:cs="Arial"/>
          <w:color w:val="484848"/>
          <w:sz w:val="20"/>
          <w:szCs w:val="20"/>
        </w:rPr>
        <w:t xml:space="preserve"> </w:t>
      </w:r>
    </w:p>
    <w:p w14:paraId="536ECF51" w14:textId="77777777" w:rsidR="00721003" w:rsidRDefault="00721003" w:rsidP="00721003">
      <w:pPr>
        <w:spacing w:after="0" w:line="240" w:lineRule="auto"/>
        <w:rPr>
          <w:rFonts w:ascii="Arial" w:hAnsi="Arial" w:cs="Arial"/>
          <w:sz w:val="20"/>
          <w:szCs w:val="20"/>
        </w:rPr>
      </w:pPr>
    </w:p>
    <w:p w14:paraId="5D142626"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Kisor, A. and Kendal-Wilson, L. (2002). </w:t>
      </w:r>
      <w:r w:rsidRPr="00AC4A27">
        <w:rPr>
          <w:rFonts w:ascii="Arial" w:hAnsi="Arial" w:cs="Arial"/>
          <w:sz w:val="20"/>
          <w:szCs w:val="20"/>
        </w:rPr>
        <w:t>Older homeless women: Reframing the stereotype of the bag lady</w:t>
      </w:r>
      <w:r>
        <w:rPr>
          <w:rFonts w:ascii="Arial" w:hAnsi="Arial" w:cs="Arial"/>
          <w:i/>
          <w:sz w:val="20"/>
          <w:szCs w:val="20"/>
        </w:rPr>
        <w:t>.</w:t>
      </w:r>
      <w:r>
        <w:rPr>
          <w:rFonts w:ascii="Arial" w:hAnsi="Arial" w:cs="Arial"/>
          <w:sz w:val="20"/>
          <w:szCs w:val="20"/>
        </w:rPr>
        <w:t xml:space="preserve"> </w:t>
      </w:r>
      <w:r w:rsidRPr="00AC4A27">
        <w:rPr>
          <w:rFonts w:ascii="Arial" w:hAnsi="Arial" w:cs="Arial"/>
          <w:i/>
          <w:sz w:val="20"/>
          <w:szCs w:val="20"/>
        </w:rPr>
        <w:t>Afillia</w:t>
      </w:r>
      <w:r>
        <w:rPr>
          <w:rFonts w:ascii="Arial" w:hAnsi="Arial" w:cs="Arial"/>
          <w:sz w:val="20"/>
          <w:szCs w:val="20"/>
        </w:rPr>
        <w:t>, 17:3, pp. 354 - 370</w:t>
      </w:r>
    </w:p>
    <w:p w14:paraId="690863D5" w14:textId="77777777" w:rsidR="00721003" w:rsidRDefault="00721003" w:rsidP="00721003">
      <w:pPr>
        <w:spacing w:after="0" w:line="240" w:lineRule="auto"/>
        <w:rPr>
          <w:rFonts w:ascii="Arial" w:hAnsi="Arial" w:cs="Arial"/>
          <w:sz w:val="20"/>
          <w:szCs w:val="20"/>
        </w:rPr>
      </w:pPr>
    </w:p>
    <w:p w14:paraId="01EACF07"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McFerran, L. (2010). </w:t>
      </w:r>
      <w:r>
        <w:rPr>
          <w:rFonts w:ascii="Arial" w:hAnsi="Arial" w:cs="Arial"/>
          <w:i/>
          <w:sz w:val="20"/>
          <w:szCs w:val="20"/>
        </w:rPr>
        <w:t>It could be you: Female, single, older and homeless</w:t>
      </w:r>
      <w:r>
        <w:rPr>
          <w:rFonts w:ascii="Arial" w:hAnsi="Arial" w:cs="Arial"/>
          <w:sz w:val="20"/>
          <w:szCs w:val="20"/>
        </w:rPr>
        <w:t xml:space="preserve">, Homelessness NSW, the Older Women’s Network NSW, St Vincent De Paul Society, Woolloomooloo, Retrieved from </w:t>
      </w:r>
    </w:p>
    <w:p w14:paraId="2815018E" w14:textId="77777777" w:rsidR="00721003" w:rsidRDefault="005C0B55" w:rsidP="00721003">
      <w:pPr>
        <w:spacing w:after="0" w:line="240" w:lineRule="auto"/>
        <w:rPr>
          <w:rFonts w:ascii="Arial" w:hAnsi="Arial" w:cs="Arial"/>
          <w:color w:val="0000FF" w:themeColor="hyperlink"/>
          <w:sz w:val="20"/>
          <w:szCs w:val="20"/>
          <w:u w:val="single"/>
        </w:rPr>
      </w:pPr>
      <w:hyperlink r:id="rId68" w:history="1">
        <w:r w:rsidR="00721003" w:rsidRPr="00E56F45">
          <w:rPr>
            <w:rStyle w:val="Hyperlink"/>
            <w:rFonts w:ascii="Arial" w:hAnsi="Arial" w:cs="Arial"/>
            <w:sz w:val="20"/>
            <w:szCs w:val="20"/>
          </w:rPr>
          <w:t>www.ownnsw.org.au/it-could-be-you/</w:t>
        </w:r>
      </w:hyperlink>
      <w:r w:rsidR="00721003">
        <w:rPr>
          <w:rFonts w:ascii="Arial" w:hAnsi="Arial" w:cs="Arial"/>
          <w:sz w:val="20"/>
          <w:szCs w:val="20"/>
        </w:rPr>
        <w:t xml:space="preserve"> </w:t>
      </w:r>
    </w:p>
    <w:p w14:paraId="48E97F67" w14:textId="77777777" w:rsidR="00721003" w:rsidRDefault="00721003" w:rsidP="00721003">
      <w:pPr>
        <w:spacing w:after="0" w:line="240" w:lineRule="auto"/>
        <w:rPr>
          <w:rFonts w:ascii="Arial" w:hAnsi="Arial" w:cs="Arial"/>
          <w:sz w:val="20"/>
          <w:szCs w:val="20"/>
        </w:rPr>
      </w:pPr>
    </w:p>
    <w:p w14:paraId="40C96297" w14:textId="77777777" w:rsidR="00721003" w:rsidRDefault="00721003" w:rsidP="00721003">
      <w:pPr>
        <w:spacing w:after="0" w:line="240" w:lineRule="auto"/>
        <w:rPr>
          <w:rFonts w:ascii="Arial" w:hAnsi="Arial" w:cs="Arial"/>
          <w:color w:val="484848"/>
        </w:rPr>
      </w:pPr>
      <w:r>
        <w:rPr>
          <w:rFonts w:ascii="Arial" w:hAnsi="Arial" w:cs="Arial"/>
          <w:sz w:val="20"/>
          <w:szCs w:val="20"/>
        </w:rPr>
        <w:t xml:space="preserve">Olsberg, D. and Winters, M. (2015) </w:t>
      </w:r>
      <w:r>
        <w:rPr>
          <w:rFonts w:ascii="Arial" w:hAnsi="Arial" w:cs="Arial"/>
          <w:i/>
          <w:sz w:val="20"/>
          <w:szCs w:val="20"/>
        </w:rPr>
        <w:t>Ageing in place: intergenerational and intra-familial housing transfers and shifts in later life</w:t>
      </w:r>
      <w:r>
        <w:rPr>
          <w:rFonts w:ascii="Arial" w:hAnsi="Arial" w:cs="Arial"/>
          <w:sz w:val="20"/>
          <w:szCs w:val="20"/>
        </w:rPr>
        <w:t xml:space="preserve">, AHURI Final Report No. 88, Australian Housing and Urban Research Institute Limited, Melbourne, Retrieved from </w:t>
      </w:r>
      <w:hyperlink r:id="rId69" w:history="1">
        <w:r w:rsidRPr="00AC4A27">
          <w:rPr>
            <w:rStyle w:val="Hyperlink"/>
            <w:rFonts w:ascii="Arial" w:hAnsi="Arial" w:cs="Arial"/>
            <w:sz w:val="20"/>
            <w:szCs w:val="20"/>
          </w:rPr>
          <w:t>www.ahuri.edu.au/research/final-reports/88</w:t>
        </w:r>
      </w:hyperlink>
      <w:r>
        <w:rPr>
          <w:rFonts w:ascii="Arial" w:hAnsi="Arial" w:cs="Arial"/>
          <w:color w:val="484848"/>
        </w:rPr>
        <w:t xml:space="preserve"> </w:t>
      </w:r>
    </w:p>
    <w:p w14:paraId="08D82256" w14:textId="77777777" w:rsidR="00721003" w:rsidRDefault="00721003" w:rsidP="00721003">
      <w:pPr>
        <w:spacing w:after="0" w:line="240" w:lineRule="auto"/>
        <w:rPr>
          <w:rFonts w:ascii="Arial" w:hAnsi="Arial" w:cs="Arial"/>
          <w:sz w:val="20"/>
          <w:szCs w:val="20"/>
        </w:rPr>
      </w:pPr>
    </w:p>
    <w:p w14:paraId="66A9EACC"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Ong, R. et al, (2013) </w:t>
      </w:r>
      <w:r>
        <w:rPr>
          <w:rFonts w:ascii="Arial" w:hAnsi="Arial" w:cs="Arial"/>
          <w:i/>
          <w:sz w:val="20"/>
          <w:szCs w:val="20"/>
        </w:rPr>
        <w:t xml:space="preserve">Housing equity withdrawal: uses, risks, and barriers to alternative mechanisms in later life, </w:t>
      </w:r>
      <w:r>
        <w:rPr>
          <w:rFonts w:ascii="Arial" w:hAnsi="Arial" w:cs="Arial"/>
          <w:sz w:val="20"/>
          <w:szCs w:val="20"/>
        </w:rPr>
        <w:t xml:space="preserve">AHURI Final Report No. 217, Australian Housing and Urban Research Institute Limited, Melbourne, Retrieved from </w:t>
      </w:r>
      <w:hyperlink r:id="rId70" w:history="1">
        <w:r w:rsidRPr="00E56F45">
          <w:rPr>
            <w:rStyle w:val="Hyperlink"/>
            <w:rFonts w:ascii="Arial" w:hAnsi="Arial" w:cs="Arial"/>
            <w:sz w:val="20"/>
            <w:szCs w:val="20"/>
          </w:rPr>
          <w:t>www.ahuri.edu.au/research/final-reports/217</w:t>
        </w:r>
      </w:hyperlink>
      <w:r>
        <w:rPr>
          <w:rFonts w:ascii="Arial" w:hAnsi="Arial" w:cs="Arial"/>
          <w:color w:val="484848"/>
          <w:sz w:val="20"/>
          <w:szCs w:val="20"/>
        </w:rPr>
        <w:t xml:space="preserve"> </w:t>
      </w:r>
    </w:p>
    <w:p w14:paraId="1FA17EBC" w14:textId="77777777" w:rsidR="00721003" w:rsidRDefault="00721003" w:rsidP="00721003">
      <w:pPr>
        <w:spacing w:after="0" w:line="240" w:lineRule="auto"/>
        <w:rPr>
          <w:rFonts w:ascii="Arial" w:hAnsi="Arial" w:cs="Arial"/>
          <w:sz w:val="20"/>
          <w:szCs w:val="20"/>
        </w:rPr>
      </w:pPr>
    </w:p>
    <w:p w14:paraId="1187B7FC" w14:textId="77777777" w:rsidR="00721003" w:rsidRDefault="00721003" w:rsidP="00721003">
      <w:r w:rsidRPr="0047298A">
        <w:rPr>
          <w:rFonts w:ascii="Arial" w:hAnsi="Arial" w:cs="Arial"/>
          <w:sz w:val="20"/>
          <w:szCs w:val="20"/>
        </w:rPr>
        <w:t xml:space="preserve">Petersen, M. and Jones, A. (2013) </w:t>
      </w:r>
      <w:r w:rsidRPr="0047298A">
        <w:rPr>
          <w:rFonts w:ascii="Arial" w:hAnsi="Arial" w:cs="Arial"/>
          <w:i/>
          <w:sz w:val="20"/>
          <w:szCs w:val="20"/>
        </w:rPr>
        <w:t>Addressing later life homelessness</w:t>
      </w:r>
      <w:r>
        <w:rPr>
          <w:rFonts w:ascii="Arial" w:hAnsi="Arial" w:cs="Arial"/>
          <w:i/>
          <w:sz w:val="20"/>
          <w:szCs w:val="20"/>
        </w:rPr>
        <w:t xml:space="preserve">, </w:t>
      </w:r>
      <w:r w:rsidRPr="0047298A">
        <w:rPr>
          <w:rFonts w:ascii="Arial" w:hAnsi="Arial" w:cs="Arial"/>
          <w:sz w:val="20"/>
          <w:szCs w:val="20"/>
        </w:rPr>
        <w:t>Institute for Social Science Research, The University of Queensland,</w:t>
      </w:r>
      <w:r>
        <w:rPr>
          <w:rFonts w:ascii="Arial" w:hAnsi="Arial" w:cs="Arial"/>
          <w:sz w:val="20"/>
          <w:szCs w:val="20"/>
        </w:rPr>
        <w:t xml:space="preserve"> Retrieved from </w:t>
      </w:r>
      <w:hyperlink r:id="rId71" w:history="1">
        <w:r w:rsidRPr="00E56F45">
          <w:rPr>
            <w:rStyle w:val="Hyperlink"/>
            <w:rFonts w:ascii="Arial" w:hAnsi="Arial" w:cs="Arial"/>
            <w:sz w:val="20"/>
            <w:szCs w:val="20"/>
          </w:rPr>
          <w:t>www.abc.net.au/cm/lb/4895944/data/addressing-later-life-homelessness-data.pdf</w:t>
        </w:r>
      </w:hyperlink>
      <w:r>
        <w:rPr>
          <w:rFonts w:ascii="Arial" w:hAnsi="Arial" w:cs="Arial"/>
          <w:sz w:val="20"/>
          <w:szCs w:val="20"/>
        </w:rPr>
        <w:t xml:space="preserve"> </w:t>
      </w:r>
    </w:p>
    <w:p w14:paraId="784966C3"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Peterson M, and Parsell C, (2014) </w:t>
      </w:r>
      <w:r>
        <w:rPr>
          <w:rFonts w:ascii="Arial" w:hAnsi="Arial" w:cs="Arial"/>
          <w:i/>
          <w:sz w:val="20"/>
          <w:szCs w:val="20"/>
        </w:rPr>
        <w:t>Older Women’s Pathways out of Homelessness in Australia</w:t>
      </w:r>
      <w:r>
        <w:rPr>
          <w:rFonts w:ascii="Arial" w:hAnsi="Arial" w:cs="Arial"/>
          <w:sz w:val="20"/>
          <w:szCs w:val="20"/>
        </w:rPr>
        <w:t xml:space="preserve">, The Mercy Foundation, Brisbane: QLD, Retrieved from </w:t>
      </w:r>
      <w:hyperlink r:id="rId72" w:history="1">
        <w:r w:rsidRPr="00E56F45">
          <w:rPr>
            <w:rStyle w:val="Hyperlink"/>
            <w:rFonts w:ascii="Arial" w:hAnsi="Arial" w:cs="Arial"/>
            <w:sz w:val="20"/>
            <w:szCs w:val="20"/>
          </w:rPr>
          <w:t>www.mercyfoundation.com.au/latest-news/view_article.cfm?loadref=%208&amp;id=183</w:t>
        </w:r>
      </w:hyperlink>
      <w:r>
        <w:rPr>
          <w:rFonts w:ascii="Arial" w:hAnsi="Arial" w:cs="Arial"/>
          <w:sz w:val="20"/>
          <w:szCs w:val="20"/>
        </w:rPr>
        <w:t xml:space="preserve"> </w:t>
      </w:r>
    </w:p>
    <w:p w14:paraId="32F849BE" w14:textId="77777777" w:rsidR="00721003" w:rsidRDefault="00721003" w:rsidP="00721003">
      <w:pPr>
        <w:spacing w:after="0" w:line="240" w:lineRule="auto"/>
        <w:rPr>
          <w:rFonts w:ascii="Arial" w:hAnsi="Arial" w:cs="Arial"/>
          <w:sz w:val="20"/>
          <w:szCs w:val="20"/>
        </w:rPr>
      </w:pPr>
    </w:p>
    <w:p w14:paraId="7A31BE15"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Petersen, M., and Parsell, C., (2015) </w:t>
      </w:r>
      <w:r>
        <w:rPr>
          <w:rFonts w:ascii="Arial" w:hAnsi="Arial" w:cs="Arial"/>
          <w:i/>
          <w:sz w:val="20"/>
          <w:szCs w:val="20"/>
        </w:rPr>
        <w:t>Homeless for the First Time in Later Life: An Australian Study</w:t>
      </w:r>
      <w:r>
        <w:rPr>
          <w:rFonts w:ascii="Arial" w:hAnsi="Arial" w:cs="Arial"/>
          <w:sz w:val="20"/>
          <w:szCs w:val="20"/>
        </w:rPr>
        <w:t xml:space="preserve">, Housing Studies, 30:3, 368-391, DOI: 10.1080/02673037.2014.4963522 </w:t>
      </w:r>
    </w:p>
    <w:p w14:paraId="61563772" w14:textId="77777777" w:rsidR="00721003" w:rsidRDefault="00721003" w:rsidP="00721003">
      <w:pPr>
        <w:spacing w:after="0" w:line="240" w:lineRule="auto"/>
        <w:rPr>
          <w:rFonts w:ascii="Arial" w:hAnsi="Arial" w:cs="Arial"/>
          <w:sz w:val="20"/>
          <w:szCs w:val="20"/>
        </w:rPr>
      </w:pPr>
    </w:p>
    <w:p w14:paraId="4399E801" w14:textId="77777777" w:rsidR="00721003" w:rsidRDefault="00721003" w:rsidP="00721003">
      <w:pPr>
        <w:spacing w:after="0" w:line="240" w:lineRule="auto"/>
        <w:rPr>
          <w:rFonts w:ascii="Arial" w:hAnsi="Arial" w:cs="Arial"/>
          <w:color w:val="0000FF" w:themeColor="hyperlink"/>
          <w:sz w:val="20"/>
          <w:szCs w:val="20"/>
          <w:u w:val="single"/>
        </w:rPr>
      </w:pPr>
      <w:r>
        <w:rPr>
          <w:rFonts w:ascii="Arial" w:hAnsi="Arial" w:cs="Arial"/>
          <w:sz w:val="20"/>
          <w:szCs w:val="20"/>
        </w:rPr>
        <w:t xml:space="preserve">Petersen M., Parsell, C., Phillips, R. and White, G. (2014), </w:t>
      </w:r>
      <w:r>
        <w:rPr>
          <w:rFonts w:ascii="Arial" w:hAnsi="Arial" w:cs="Arial"/>
          <w:i/>
          <w:iCs/>
          <w:sz w:val="20"/>
          <w:szCs w:val="20"/>
        </w:rPr>
        <w:t xml:space="preserve">Preventing first time homelessness amongst older Australians, </w:t>
      </w:r>
      <w:r>
        <w:rPr>
          <w:rFonts w:ascii="Arial" w:hAnsi="Arial" w:cs="Arial"/>
          <w:sz w:val="20"/>
          <w:szCs w:val="20"/>
        </w:rPr>
        <w:t xml:space="preserve">AHURI Final Report No.222, </w:t>
      </w:r>
      <w:r>
        <w:rPr>
          <w:rFonts w:ascii="Arial" w:hAnsi="Arial" w:cs="Arial"/>
          <w:iCs/>
          <w:sz w:val="20"/>
          <w:szCs w:val="20"/>
        </w:rPr>
        <w:t>Australian Housing and Urban Research Institute,</w:t>
      </w:r>
      <w:r>
        <w:rPr>
          <w:rFonts w:ascii="Arial" w:hAnsi="Arial" w:cs="Arial"/>
          <w:sz w:val="20"/>
          <w:szCs w:val="20"/>
        </w:rPr>
        <w:t xml:space="preserve"> Melbourne, Retrieved from</w:t>
      </w:r>
      <w:r>
        <w:t xml:space="preserve"> </w:t>
      </w:r>
      <w:hyperlink r:id="rId73" w:history="1">
        <w:r w:rsidRPr="007A1894">
          <w:rPr>
            <w:rStyle w:val="Hyperlink"/>
            <w:rFonts w:ascii="Arial" w:hAnsi="Arial" w:cs="Arial"/>
            <w:sz w:val="20"/>
            <w:szCs w:val="20"/>
          </w:rPr>
          <w:t>www.ahuri.edu.au/research/final-reports/222</w:t>
        </w:r>
      </w:hyperlink>
      <w:r>
        <w:rPr>
          <w:rFonts w:ascii="Arial" w:hAnsi="Arial" w:cs="Arial"/>
          <w:color w:val="484848"/>
        </w:rPr>
        <w:t xml:space="preserve"> </w:t>
      </w:r>
    </w:p>
    <w:p w14:paraId="0266552B" w14:textId="77777777" w:rsidR="00721003" w:rsidRDefault="00721003" w:rsidP="00721003">
      <w:pPr>
        <w:spacing w:after="0" w:line="240" w:lineRule="auto"/>
        <w:rPr>
          <w:rFonts w:ascii="Arial" w:hAnsi="Arial" w:cs="Arial"/>
          <w:color w:val="0000FF" w:themeColor="hyperlink"/>
          <w:sz w:val="20"/>
          <w:szCs w:val="20"/>
          <w:u w:val="single"/>
        </w:rPr>
      </w:pPr>
    </w:p>
    <w:p w14:paraId="2ADE0E31"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Pinnegar, S., van den Nouwelant, R., et al (2012) </w:t>
      </w:r>
      <w:r>
        <w:rPr>
          <w:rFonts w:ascii="Arial" w:hAnsi="Arial" w:cs="Arial"/>
          <w:i/>
          <w:sz w:val="20"/>
          <w:szCs w:val="20"/>
        </w:rPr>
        <w:t>Understanding housing and location choices of retiring Australians in the ‘baby boom’ generation – Scoping Report prepared for the National Housing Supply Council</w:t>
      </w:r>
      <w:r>
        <w:rPr>
          <w:rFonts w:ascii="Arial" w:hAnsi="Arial" w:cs="Arial"/>
          <w:sz w:val="20"/>
          <w:szCs w:val="20"/>
        </w:rPr>
        <w:t>, City Futures Research Centre, UNSW, Sydney.</w:t>
      </w:r>
      <w:r>
        <w:t xml:space="preserve"> </w:t>
      </w:r>
      <w:r>
        <w:rPr>
          <w:rFonts w:ascii="Arial" w:hAnsi="Arial" w:cs="Arial"/>
          <w:sz w:val="20"/>
          <w:szCs w:val="20"/>
        </w:rPr>
        <w:t>Retrieved from</w:t>
      </w:r>
      <w:r>
        <w:t xml:space="preserve"> </w:t>
      </w:r>
      <w:hyperlink r:id="rId74" w:history="1">
        <w:r>
          <w:rPr>
            <w:rStyle w:val="Hyperlink"/>
            <w:rFonts w:ascii="Arial" w:hAnsi="Arial" w:cs="Arial"/>
            <w:sz w:val="20"/>
            <w:szCs w:val="20"/>
          </w:rPr>
          <w:t>www.treasury.gov.au/PublicationsAndMedia/Publications/2012/housing-in-the-baby-boom-generation</w:t>
        </w:r>
      </w:hyperlink>
    </w:p>
    <w:p w14:paraId="23D330CB" w14:textId="77777777" w:rsidR="00721003" w:rsidRDefault="00721003" w:rsidP="00721003">
      <w:pPr>
        <w:spacing w:after="0" w:line="240" w:lineRule="auto"/>
        <w:rPr>
          <w:rFonts w:ascii="Arial" w:hAnsi="Arial" w:cs="Arial"/>
          <w:sz w:val="20"/>
          <w:szCs w:val="20"/>
        </w:rPr>
      </w:pPr>
    </w:p>
    <w:p w14:paraId="78038EB2" w14:textId="77777777" w:rsidR="00721003" w:rsidRDefault="00721003" w:rsidP="00721003">
      <w:pPr>
        <w:rPr>
          <w:rFonts w:ascii="Arial" w:hAnsi="Arial" w:cs="Arial"/>
          <w:sz w:val="20"/>
          <w:szCs w:val="20"/>
        </w:rPr>
      </w:pPr>
      <w:r>
        <w:rPr>
          <w:rFonts w:ascii="Arial" w:hAnsi="Arial" w:cs="Arial"/>
          <w:sz w:val="20"/>
          <w:szCs w:val="20"/>
        </w:rPr>
        <w:t xml:space="preserve">Sharam, A. (2008) </w:t>
      </w:r>
      <w:r>
        <w:rPr>
          <w:rFonts w:ascii="Arial" w:hAnsi="Arial" w:cs="Arial"/>
          <w:i/>
          <w:sz w:val="20"/>
          <w:szCs w:val="20"/>
        </w:rPr>
        <w:t>Going it alone: Single, low needs women and hidden homelessness</w:t>
      </w:r>
      <w:r>
        <w:rPr>
          <w:rFonts w:ascii="Arial" w:hAnsi="Arial" w:cs="Arial"/>
          <w:sz w:val="20"/>
          <w:szCs w:val="20"/>
        </w:rPr>
        <w:t>, Women’s Information, Support and Housing in the North,</w:t>
      </w:r>
      <w:r>
        <w:t xml:space="preserve"> </w:t>
      </w:r>
      <w:r>
        <w:rPr>
          <w:rFonts w:ascii="Arial" w:hAnsi="Arial" w:cs="Arial"/>
          <w:sz w:val="20"/>
          <w:szCs w:val="20"/>
        </w:rPr>
        <w:t>Melbourne: VIC, Retrieved from</w:t>
      </w:r>
      <w:r>
        <w:t xml:space="preserve"> </w:t>
      </w:r>
      <w:hyperlink r:id="rId75" w:history="1">
        <w:r>
          <w:rPr>
            <w:rStyle w:val="Hyperlink"/>
            <w:rFonts w:ascii="Arial" w:hAnsi="Arial" w:cs="Arial"/>
            <w:sz w:val="20"/>
            <w:szCs w:val="20"/>
          </w:rPr>
          <w:t>researchbank.swinburne.edu.au/vital/access/manager/Repository/swin:24750</w:t>
        </w:r>
      </w:hyperlink>
    </w:p>
    <w:p w14:paraId="3B863049"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Taylor, M., and Buys, L. (2014) </w:t>
      </w:r>
      <w:r>
        <w:rPr>
          <w:rFonts w:ascii="Arial" w:hAnsi="Arial" w:cs="Arial"/>
          <w:i/>
          <w:sz w:val="20"/>
          <w:szCs w:val="20"/>
        </w:rPr>
        <w:t>Ageing in Suburbia: Designing for Demographic Change in Australia and New Zealand</w:t>
      </w:r>
      <w:r>
        <w:rPr>
          <w:rFonts w:ascii="Arial" w:hAnsi="Arial" w:cs="Arial"/>
          <w:sz w:val="20"/>
          <w:szCs w:val="20"/>
        </w:rPr>
        <w:t>, Architectural Design, 84: 2, 54-59</w:t>
      </w:r>
      <w:r>
        <w:t xml:space="preserve">, </w:t>
      </w:r>
      <w:r>
        <w:rPr>
          <w:rFonts w:ascii="Arial" w:hAnsi="Arial" w:cs="Arial"/>
          <w:sz w:val="20"/>
          <w:szCs w:val="20"/>
        </w:rPr>
        <w:t xml:space="preserve">Retrieved from </w:t>
      </w:r>
      <w:hyperlink r:id="rId76" w:history="1">
        <w:r>
          <w:rPr>
            <w:rStyle w:val="Hyperlink"/>
            <w:rFonts w:ascii="Arial" w:hAnsi="Arial" w:cs="Arial"/>
            <w:sz w:val="20"/>
            <w:szCs w:val="20"/>
          </w:rPr>
          <w:t>doi.org/10.1002/ad.1728</w:t>
        </w:r>
      </w:hyperlink>
      <w:r>
        <w:rPr>
          <w:rFonts w:ascii="Arial" w:hAnsi="Arial" w:cs="Arial"/>
          <w:sz w:val="20"/>
          <w:szCs w:val="20"/>
        </w:rPr>
        <w:t xml:space="preserve"> </w:t>
      </w:r>
    </w:p>
    <w:p w14:paraId="25F73078" w14:textId="77777777" w:rsidR="00721003" w:rsidRDefault="00721003" w:rsidP="00721003">
      <w:pPr>
        <w:spacing w:after="0"/>
        <w:rPr>
          <w:rFonts w:ascii="Arial" w:hAnsi="Arial" w:cs="Arial"/>
          <w:sz w:val="20"/>
          <w:szCs w:val="20"/>
          <w:lang w:val="es-ES"/>
        </w:rPr>
      </w:pPr>
    </w:p>
    <w:p w14:paraId="170B3E2B"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Wells, Y., et al, (2014) </w:t>
      </w:r>
      <w:r>
        <w:rPr>
          <w:rFonts w:ascii="Arial" w:hAnsi="Arial" w:cs="Arial"/>
          <w:i/>
          <w:sz w:val="20"/>
          <w:szCs w:val="20"/>
        </w:rPr>
        <w:t xml:space="preserve">What works to promote emotional wellbeing in older people: A guide for aged care staff working in community or residential care settings, </w:t>
      </w:r>
      <w:r>
        <w:rPr>
          <w:rFonts w:ascii="Arial" w:hAnsi="Arial" w:cs="Arial"/>
          <w:sz w:val="20"/>
          <w:szCs w:val="20"/>
        </w:rPr>
        <w:t xml:space="preserve">Melbourne: beyondblue, Retrieved from </w:t>
      </w:r>
      <w:hyperlink r:id="rId77" w:history="1">
        <w:r w:rsidRPr="00E56F45">
          <w:rPr>
            <w:rStyle w:val="Hyperlink"/>
            <w:rFonts w:ascii="Arial" w:hAnsi="Arial" w:cs="Arial"/>
            <w:sz w:val="20"/>
            <w:szCs w:val="20"/>
          </w:rPr>
          <w:t>resources.beyondblue.org.au/prism/file?token=BL/1263A</w:t>
        </w:r>
      </w:hyperlink>
      <w:r>
        <w:rPr>
          <w:rFonts w:ascii="Arial" w:hAnsi="Arial" w:cs="Arial"/>
          <w:sz w:val="20"/>
          <w:szCs w:val="20"/>
        </w:rPr>
        <w:t xml:space="preserve"> </w:t>
      </w:r>
    </w:p>
    <w:p w14:paraId="255CB18B" w14:textId="77777777" w:rsidR="00721003" w:rsidRDefault="00721003" w:rsidP="00721003">
      <w:pPr>
        <w:spacing w:after="0" w:line="240" w:lineRule="auto"/>
        <w:rPr>
          <w:rFonts w:ascii="Arial" w:hAnsi="Arial" w:cs="Arial"/>
          <w:sz w:val="20"/>
          <w:szCs w:val="20"/>
        </w:rPr>
      </w:pPr>
    </w:p>
    <w:p w14:paraId="7013E4A1"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Wensing, E., Holloway, D., and Wood M. (2003) </w:t>
      </w:r>
      <w:r>
        <w:rPr>
          <w:rFonts w:ascii="Arial" w:hAnsi="Arial" w:cs="Arial"/>
          <w:i/>
          <w:sz w:val="20"/>
          <w:szCs w:val="20"/>
        </w:rPr>
        <w:t>On the margins? Housing risk among caravan park residents</w:t>
      </w:r>
      <w:r>
        <w:rPr>
          <w:rFonts w:ascii="Arial" w:hAnsi="Arial" w:cs="Arial"/>
          <w:sz w:val="20"/>
          <w:szCs w:val="20"/>
        </w:rPr>
        <w:t xml:space="preserve">, AHURI Final Report No. 47, Australian Housing and Urban Research Institute Limited, Melbourne, Retrieved from </w:t>
      </w:r>
      <w:hyperlink r:id="rId78" w:history="1">
        <w:r w:rsidRPr="00E56F45">
          <w:rPr>
            <w:rStyle w:val="Hyperlink"/>
            <w:rFonts w:ascii="Arial" w:hAnsi="Arial" w:cs="Arial"/>
            <w:sz w:val="20"/>
            <w:szCs w:val="20"/>
          </w:rPr>
          <w:t>www.ahuri.edu.au/research/final-reports/47</w:t>
        </w:r>
      </w:hyperlink>
      <w:r>
        <w:rPr>
          <w:rFonts w:ascii="Arial" w:hAnsi="Arial" w:cs="Arial"/>
          <w:color w:val="484848"/>
          <w:sz w:val="20"/>
          <w:szCs w:val="20"/>
        </w:rPr>
        <w:t xml:space="preserve"> </w:t>
      </w:r>
    </w:p>
    <w:p w14:paraId="4636EB1A" w14:textId="77777777" w:rsidR="00721003" w:rsidRDefault="00721003" w:rsidP="00721003">
      <w:pPr>
        <w:spacing w:after="0" w:line="240" w:lineRule="auto"/>
        <w:rPr>
          <w:rFonts w:ascii="Arial" w:hAnsi="Arial" w:cs="Arial"/>
          <w:sz w:val="20"/>
          <w:szCs w:val="20"/>
        </w:rPr>
      </w:pPr>
    </w:p>
    <w:p w14:paraId="43E60C9A" w14:textId="77777777" w:rsidR="00721003" w:rsidRDefault="00721003" w:rsidP="00721003">
      <w:pPr>
        <w:spacing w:after="0" w:line="240" w:lineRule="auto"/>
        <w:rPr>
          <w:rFonts w:ascii="Arial" w:hAnsi="Arial" w:cs="Arial"/>
          <w:sz w:val="20"/>
          <w:szCs w:val="20"/>
        </w:rPr>
      </w:pPr>
      <w:r>
        <w:rPr>
          <w:rFonts w:ascii="Arial" w:hAnsi="Arial" w:cs="Arial"/>
          <w:sz w:val="20"/>
          <w:szCs w:val="20"/>
        </w:rPr>
        <w:t xml:space="preserve">Westmore, T. and Mallett. S. (2011) </w:t>
      </w:r>
      <w:r>
        <w:rPr>
          <w:rFonts w:ascii="Arial" w:hAnsi="Arial" w:cs="Arial"/>
          <w:i/>
          <w:sz w:val="20"/>
          <w:szCs w:val="20"/>
        </w:rPr>
        <w:t xml:space="preserve">Ageing in what place? The experience of housing crisis and homelessness for older Victorians Final Report,  </w:t>
      </w:r>
      <w:r>
        <w:rPr>
          <w:rFonts w:ascii="Arial" w:hAnsi="Arial" w:cs="Arial"/>
          <w:sz w:val="20"/>
          <w:szCs w:val="20"/>
        </w:rPr>
        <w:t xml:space="preserve">Hanover Welfare Services, Melbourne, Retrieved from </w:t>
      </w:r>
      <w:hyperlink r:id="rId79" w:history="1">
        <w:r>
          <w:rPr>
            <w:rStyle w:val="Hyperlink"/>
            <w:rFonts w:ascii="Arial" w:hAnsi="Arial" w:cs="Arial"/>
            <w:sz w:val="20"/>
            <w:szCs w:val="20"/>
          </w:rPr>
          <w:t>www.hanover.org.au/homelessness-research-reports/ageing-in-what-place-the-experience-of-housing-crisis-and-homelessness-for-older-victorians/</w:t>
        </w:r>
      </w:hyperlink>
    </w:p>
    <w:p w14:paraId="6B7E46B6" w14:textId="77777777" w:rsidR="00721003" w:rsidRDefault="00721003" w:rsidP="00721003"/>
    <w:p w14:paraId="666B9AFE" w14:textId="77777777" w:rsidR="00721003" w:rsidRDefault="00721003" w:rsidP="00721003"/>
    <w:p w14:paraId="4925EB3F" w14:textId="77777777" w:rsidR="00721003" w:rsidRDefault="00721003" w:rsidP="00721003"/>
    <w:p w14:paraId="5FAFE395" w14:textId="768A1289" w:rsidR="00BA3344" w:rsidRDefault="00B43EDE" w:rsidP="00B43EDE">
      <w:pPr>
        <w:pStyle w:val="Heading"/>
      </w:pPr>
      <w:r>
        <w:br w:type="column"/>
      </w:r>
      <w:bookmarkStart w:id="4621" w:name="_Toc460257526"/>
      <w:r w:rsidRPr="00A82408">
        <w:lastRenderedPageBreak/>
        <w:t>APPENDICES</w:t>
      </w:r>
      <w:bookmarkEnd w:id="4621"/>
    </w:p>
    <w:p w14:paraId="279E35CA" w14:textId="77777777" w:rsidR="00B43EDE" w:rsidRDefault="00B43EDE" w:rsidP="00721003">
      <w:pPr>
        <w:spacing w:after="0" w:line="240" w:lineRule="auto"/>
      </w:pPr>
    </w:p>
    <w:p w14:paraId="29F61259" w14:textId="0F20E29A" w:rsidR="00B43EDE" w:rsidRPr="00B43EDE" w:rsidRDefault="00B43EDE" w:rsidP="00314966">
      <w:pPr>
        <w:tabs>
          <w:tab w:val="left" w:pos="2127"/>
        </w:tabs>
        <w:spacing w:after="0" w:line="240" w:lineRule="auto"/>
        <w:ind w:left="2160" w:right="-166" w:hanging="2160"/>
        <w:rPr>
          <w:sz w:val="24"/>
          <w:szCs w:val="24"/>
        </w:rPr>
      </w:pPr>
      <w:r w:rsidRPr="00B43EDE">
        <w:rPr>
          <w:sz w:val="24"/>
          <w:szCs w:val="24"/>
        </w:rPr>
        <w:t>Appendix One:</w:t>
      </w:r>
      <w:r w:rsidRPr="00B43EDE">
        <w:rPr>
          <w:sz w:val="24"/>
          <w:szCs w:val="24"/>
        </w:rPr>
        <w:tab/>
        <w:t>Advisory Taskforce on the Residential Transition for Ageing Queenslanders – Terms of Reference</w:t>
      </w:r>
    </w:p>
    <w:p w14:paraId="5D39DA55" w14:textId="77777777" w:rsidR="00B43EDE" w:rsidRPr="00B43EDE" w:rsidRDefault="00B43EDE" w:rsidP="00B43EDE">
      <w:pPr>
        <w:spacing w:after="0" w:line="240" w:lineRule="auto"/>
        <w:ind w:right="-166"/>
        <w:rPr>
          <w:sz w:val="24"/>
          <w:szCs w:val="24"/>
        </w:rPr>
      </w:pPr>
    </w:p>
    <w:p w14:paraId="0F79DE73" w14:textId="76E6CF01" w:rsidR="00B43EDE" w:rsidRPr="00B43EDE" w:rsidRDefault="00B43EDE" w:rsidP="00314966">
      <w:pPr>
        <w:tabs>
          <w:tab w:val="left" w:pos="2127"/>
        </w:tabs>
        <w:spacing w:after="0" w:line="240" w:lineRule="auto"/>
        <w:ind w:left="2160" w:right="-166" w:hanging="2160"/>
        <w:rPr>
          <w:sz w:val="24"/>
          <w:szCs w:val="24"/>
        </w:rPr>
      </w:pPr>
      <w:r w:rsidRPr="00B43EDE">
        <w:rPr>
          <w:sz w:val="24"/>
          <w:szCs w:val="24"/>
        </w:rPr>
        <w:t>Appendix Two:</w:t>
      </w:r>
      <w:r w:rsidRPr="00B43EDE">
        <w:rPr>
          <w:sz w:val="24"/>
          <w:szCs w:val="24"/>
        </w:rPr>
        <w:tab/>
        <w:t>Active Ageing model – Understanding Residential Transitions of Older Queenslanders</w:t>
      </w:r>
    </w:p>
    <w:p w14:paraId="4969B237" w14:textId="77777777" w:rsidR="00B43EDE" w:rsidRPr="00B43EDE" w:rsidRDefault="00B43EDE" w:rsidP="00B43EDE">
      <w:pPr>
        <w:spacing w:after="0" w:line="240" w:lineRule="auto"/>
        <w:ind w:right="-166"/>
        <w:rPr>
          <w:sz w:val="24"/>
          <w:szCs w:val="24"/>
        </w:rPr>
      </w:pPr>
    </w:p>
    <w:p w14:paraId="0FA05034" w14:textId="499FEEBB" w:rsidR="00B43EDE" w:rsidRPr="00B43EDE" w:rsidRDefault="00B43EDE" w:rsidP="00314966">
      <w:pPr>
        <w:tabs>
          <w:tab w:val="left" w:pos="2127"/>
        </w:tabs>
        <w:spacing w:after="0" w:line="240" w:lineRule="auto"/>
        <w:ind w:left="2160" w:right="-166" w:hanging="2160"/>
        <w:rPr>
          <w:sz w:val="24"/>
          <w:szCs w:val="24"/>
        </w:rPr>
      </w:pPr>
      <w:r w:rsidRPr="00B43EDE">
        <w:rPr>
          <w:sz w:val="24"/>
          <w:szCs w:val="24"/>
        </w:rPr>
        <w:t xml:space="preserve">Appendix Three: </w:t>
      </w:r>
      <w:r w:rsidRPr="00B43EDE">
        <w:rPr>
          <w:sz w:val="24"/>
          <w:szCs w:val="24"/>
        </w:rPr>
        <w:tab/>
        <w:t>Advisory Taskforce on the Residential Transition for Ageing Queenslanders – Issues Paper (July 2016)</w:t>
      </w:r>
    </w:p>
    <w:p w14:paraId="7BA1E9A9" w14:textId="77777777" w:rsidR="00B43EDE" w:rsidRPr="00B43EDE" w:rsidRDefault="00B43EDE" w:rsidP="00B43EDE">
      <w:pPr>
        <w:spacing w:after="0" w:line="240" w:lineRule="auto"/>
        <w:ind w:right="-166"/>
        <w:rPr>
          <w:sz w:val="24"/>
          <w:szCs w:val="24"/>
        </w:rPr>
      </w:pPr>
    </w:p>
    <w:p w14:paraId="0D8DEFAF" w14:textId="3CF84C26" w:rsidR="00B43EDE" w:rsidRPr="00B43EDE" w:rsidRDefault="00B43EDE" w:rsidP="00314966">
      <w:pPr>
        <w:tabs>
          <w:tab w:val="left" w:pos="2127"/>
        </w:tabs>
        <w:spacing w:after="0" w:line="240" w:lineRule="auto"/>
        <w:ind w:left="2160" w:right="-166" w:hanging="2160"/>
        <w:rPr>
          <w:sz w:val="24"/>
          <w:szCs w:val="24"/>
        </w:rPr>
      </w:pPr>
      <w:r w:rsidRPr="00B43EDE">
        <w:rPr>
          <w:sz w:val="24"/>
          <w:szCs w:val="24"/>
        </w:rPr>
        <w:t>Appendix Four A:</w:t>
      </w:r>
      <w:r w:rsidRPr="00B43EDE">
        <w:rPr>
          <w:sz w:val="24"/>
          <w:szCs w:val="24"/>
        </w:rPr>
        <w:tab/>
        <w:t xml:space="preserve">Map: Percent of persons aged 65 years and over by Statistical Area </w:t>
      </w:r>
      <w:r>
        <w:rPr>
          <w:sz w:val="24"/>
          <w:szCs w:val="24"/>
        </w:rPr>
        <w:t>L</w:t>
      </w:r>
      <w:r w:rsidRPr="00B43EDE">
        <w:rPr>
          <w:sz w:val="24"/>
          <w:szCs w:val="24"/>
        </w:rPr>
        <w:t>evel 3 as at June 2016</w:t>
      </w:r>
    </w:p>
    <w:p w14:paraId="731DB5C5" w14:textId="77777777" w:rsidR="00B43EDE" w:rsidRPr="00B43EDE" w:rsidRDefault="00B43EDE" w:rsidP="00B43EDE">
      <w:pPr>
        <w:spacing w:after="0" w:line="240" w:lineRule="auto"/>
        <w:ind w:right="-166"/>
        <w:rPr>
          <w:sz w:val="24"/>
          <w:szCs w:val="24"/>
        </w:rPr>
      </w:pPr>
    </w:p>
    <w:p w14:paraId="1A9B06B0" w14:textId="35B998EC" w:rsidR="00B43EDE" w:rsidRPr="00B43EDE" w:rsidRDefault="00B43EDE" w:rsidP="00314966">
      <w:pPr>
        <w:tabs>
          <w:tab w:val="left" w:pos="2127"/>
        </w:tabs>
        <w:spacing w:after="0" w:line="240" w:lineRule="auto"/>
        <w:ind w:left="2160" w:right="-166" w:hanging="2160"/>
        <w:rPr>
          <w:sz w:val="24"/>
          <w:szCs w:val="24"/>
        </w:rPr>
      </w:pPr>
      <w:r w:rsidRPr="00B43EDE">
        <w:rPr>
          <w:sz w:val="24"/>
          <w:szCs w:val="24"/>
        </w:rPr>
        <w:t>Appendix Four b:</w:t>
      </w:r>
      <w:r w:rsidRPr="00B43EDE">
        <w:rPr>
          <w:sz w:val="24"/>
          <w:szCs w:val="24"/>
        </w:rPr>
        <w:tab/>
        <w:t xml:space="preserve">Map: Percent of persons aged 65 years and over by Statistical Area </w:t>
      </w:r>
      <w:r>
        <w:rPr>
          <w:sz w:val="24"/>
          <w:szCs w:val="24"/>
        </w:rPr>
        <w:t>L</w:t>
      </w:r>
      <w:r w:rsidRPr="00B43EDE">
        <w:rPr>
          <w:sz w:val="24"/>
          <w:szCs w:val="24"/>
        </w:rPr>
        <w:t>evel 3 as at June 2036</w:t>
      </w:r>
    </w:p>
    <w:p w14:paraId="4C8344B4" w14:textId="77777777" w:rsidR="00B43EDE" w:rsidRPr="00B43EDE" w:rsidRDefault="00B43EDE" w:rsidP="00B43EDE">
      <w:pPr>
        <w:spacing w:after="0" w:line="240" w:lineRule="auto"/>
        <w:ind w:right="-166"/>
        <w:rPr>
          <w:sz w:val="24"/>
          <w:szCs w:val="24"/>
        </w:rPr>
      </w:pPr>
    </w:p>
    <w:p w14:paraId="62EF88F4" w14:textId="2B6B5DB8" w:rsidR="00B43EDE" w:rsidRPr="00B43EDE" w:rsidRDefault="00B43EDE" w:rsidP="00B43EDE">
      <w:pPr>
        <w:tabs>
          <w:tab w:val="left" w:pos="2127"/>
        </w:tabs>
        <w:spacing w:after="0" w:line="240" w:lineRule="auto"/>
        <w:ind w:left="2835" w:right="-166" w:hanging="2835"/>
        <w:rPr>
          <w:sz w:val="24"/>
          <w:szCs w:val="24"/>
        </w:rPr>
      </w:pPr>
      <w:r w:rsidRPr="00B43EDE">
        <w:rPr>
          <w:sz w:val="24"/>
          <w:szCs w:val="24"/>
        </w:rPr>
        <w:t>Appendix Five:</w:t>
      </w:r>
      <w:r w:rsidRPr="00B43EDE">
        <w:rPr>
          <w:sz w:val="24"/>
          <w:szCs w:val="24"/>
        </w:rPr>
        <w:tab/>
        <w:t>Response to Recommendation 10 – Property Council of Australia</w:t>
      </w:r>
    </w:p>
    <w:p w14:paraId="313A037A" w14:textId="77777777" w:rsidR="00B43EDE" w:rsidRPr="00B43EDE" w:rsidRDefault="00B43EDE" w:rsidP="00B43EDE">
      <w:pPr>
        <w:spacing w:after="0" w:line="240" w:lineRule="auto"/>
        <w:ind w:right="-166"/>
        <w:rPr>
          <w:sz w:val="24"/>
          <w:szCs w:val="24"/>
        </w:rPr>
      </w:pPr>
    </w:p>
    <w:p w14:paraId="19A43DE2" w14:textId="7DB1DCAA" w:rsidR="00B43EDE" w:rsidRPr="00B43EDE" w:rsidRDefault="00B43EDE" w:rsidP="00B43EDE">
      <w:pPr>
        <w:tabs>
          <w:tab w:val="left" w:pos="2127"/>
        </w:tabs>
        <w:spacing w:after="0" w:line="240" w:lineRule="auto"/>
        <w:ind w:left="2835" w:right="-166" w:hanging="2835"/>
        <w:rPr>
          <w:sz w:val="24"/>
          <w:szCs w:val="24"/>
        </w:rPr>
      </w:pPr>
      <w:r w:rsidRPr="00B43EDE">
        <w:rPr>
          <w:sz w:val="24"/>
          <w:szCs w:val="24"/>
        </w:rPr>
        <w:t>Appendix Six:</w:t>
      </w:r>
      <w:r w:rsidRPr="00B43EDE">
        <w:rPr>
          <w:sz w:val="24"/>
          <w:szCs w:val="24"/>
        </w:rPr>
        <w:tab/>
        <w:t>Government Assistance</w:t>
      </w:r>
    </w:p>
    <w:p w14:paraId="55D33CA7" w14:textId="23CAB6B3" w:rsidR="00B43EDE" w:rsidRPr="00B43EDE" w:rsidRDefault="00B43EDE" w:rsidP="00721003">
      <w:pPr>
        <w:spacing w:after="0" w:line="240" w:lineRule="auto"/>
        <w:rPr>
          <w:sz w:val="24"/>
          <w:szCs w:val="24"/>
        </w:rPr>
      </w:pPr>
    </w:p>
    <w:p w14:paraId="50B59EC7" w14:textId="77777777" w:rsidR="00B43EDE" w:rsidRPr="000D18B4" w:rsidRDefault="00B43EDE" w:rsidP="00721003">
      <w:pPr>
        <w:spacing w:after="0" w:line="240" w:lineRule="auto"/>
      </w:pPr>
    </w:p>
    <w:sectPr w:rsidR="00B43EDE" w:rsidRPr="000D18B4" w:rsidSect="00244CC3">
      <w:headerReference w:type="even" r:id="rId80"/>
      <w:headerReference w:type="default" r:id="rId81"/>
      <w:footerReference w:type="default" r:id="rId82"/>
      <w:headerReference w:type="first" r:id="rId83"/>
      <w:pgSz w:w="11906" w:h="16838"/>
      <w:pgMar w:top="851" w:right="1440" w:bottom="1134" w:left="1134" w:header="708" w:footer="2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444EE" w14:textId="77777777" w:rsidR="00E960F3" w:rsidRDefault="00E960F3" w:rsidP="000D18B4">
      <w:pPr>
        <w:spacing w:after="0" w:line="240" w:lineRule="auto"/>
      </w:pPr>
      <w:r>
        <w:separator/>
      </w:r>
    </w:p>
  </w:endnote>
  <w:endnote w:type="continuationSeparator" w:id="0">
    <w:p w14:paraId="35BCD5D8" w14:textId="77777777" w:rsidR="00E960F3" w:rsidRDefault="00E960F3" w:rsidP="000D1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309451"/>
      <w:docPartObj>
        <w:docPartGallery w:val="Page Numbers (Bottom of Page)"/>
        <w:docPartUnique/>
      </w:docPartObj>
    </w:sdtPr>
    <w:sdtEndPr>
      <w:rPr>
        <w:noProof/>
      </w:rPr>
    </w:sdtEndPr>
    <w:sdtContent>
      <w:p w14:paraId="1B4C3C99" w14:textId="77777777" w:rsidR="00E960F3" w:rsidRDefault="00E960F3" w:rsidP="008D483C">
        <w:pPr>
          <w:pStyle w:val="Footer"/>
          <w:ind w:firstLine="2160"/>
          <w:jc w:val="right"/>
        </w:pPr>
        <w:r>
          <w:fldChar w:fldCharType="begin"/>
        </w:r>
        <w:r>
          <w:instrText xml:space="preserve"> PAGE   \* MERGEFORMAT </w:instrText>
        </w:r>
        <w:r>
          <w:fldChar w:fldCharType="separate"/>
        </w:r>
        <w:r w:rsidR="005C0B55">
          <w:rPr>
            <w:noProof/>
          </w:rPr>
          <w:t>1</w:t>
        </w:r>
        <w:r>
          <w:rPr>
            <w:noProof/>
          </w:rPr>
          <w:fldChar w:fldCharType="end"/>
        </w:r>
      </w:p>
    </w:sdtContent>
  </w:sdt>
  <w:p w14:paraId="56BD6F1E" w14:textId="77777777" w:rsidR="00E960F3" w:rsidRDefault="00E960F3" w:rsidP="00BA3344">
    <w:pPr>
      <w:pStyle w:val="Footer"/>
      <w:pBdr>
        <w:top w:val="single" w:sz="4" w:space="1" w:color="D9D9D9" w:themeColor="background1" w:themeShade="D9"/>
      </w:pBdr>
      <w:jc w:val="center"/>
      <w:rPr>
        <w:b/>
        <w:b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231937"/>
      <w:docPartObj>
        <w:docPartGallery w:val="Page Numbers (Bottom of Page)"/>
        <w:docPartUnique/>
      </w:docPartObj>
    </w:sdtPr>
    <w:sdtEndPr>
      <w:rPr>
        <w:noProof/>
      </w:rPr>
    </w:sdtEndPr>
    <w:sdtContent>
      <w:p w14:paraId="39965B4E" w14:textId="77777777" w:rsidR="00E960F3" w:rsidRDefault="00E960F3" w:rsidP="008D483C">
        <w:pPr>
          <w:pStyle w:val="Footer"/>
          <w:pBdr>
            <w:bottom w:val="single" w:sz="4" w:space="1" w:color="D9D9D9" w:themeColor="background1" w:themeShade="D9"/>
          </w:pBdr>
          <w:jc w:val="right"/>
        </w:pPr>
        <w:r>
          <w:rPr>
            <w:noProof/>
          </w:rPr>
          <w:fldChar w:fldCharType="begin"/>
        </w:r>
        <w:r>
          <w:rPr>
            <w:noProof/>
          </w:rPr>
          <w:instrText xml:space="preserve"> PAGE   \* MERGEFORMAT </w:instrText>
        </w:r>
        <w:r>
          <w:rPr>
            <w:noProof/>
          </w:rPr>
          <w:fldChar w:fldCharType="separate"/>
        </w:r>
        <w:r w:rsidR="005C0B55">
          <w:rPr>
            <w:noProof/>
          </w:rPr>
          <w:t>20</w:t>
        </w:r>
        <w:r>
          <w:rPr>
            <w:noProof/>
          </w:rPr>
          <w:fldChar w:fldCharType="end"/>
        </w:r>
      </w:p>
    </w:sdtContent>
  </w:sdt>
  <w:p w14:paraId="275D8E40" w14:textId="26E0BA9E" w:rsidR="00E960F3" w:rsidRDefault="00E960F3" w:rsidP="00BA3344">
    <w:pPr>
      <w:pStyle w:val="Footer"/>
      <w:tabs>
        <w:tab w:val="clear" w:pos="4513"/>
        <w:tab w:val="clear" w:pos="9026"/>
        <w:tab w:val="left" w:pos="32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CE2EF" w14:textId="77777777" w:rsidR="00E960F3" w:rsidRDefault="00E960F3" w:rsidP="000D18B4">
      <w:pPr>
        <w:spacing w:after="0" w:line="240" w:lineRule="auto"/>
      </w:pPr>
      <w:r>
        <w:separator/>
      </w:r>
    </w:p>
  </w:footnote>
  <w:footnote w:type="continuationSeparator" w:id="0">
    <w:p w14:paraId="0B61285B" w14:textId="77777777" w:rsidR="00E960F3" w:rsidRDefault="00E960F3" w:rsidP="000D18B4">
      <w:pPr>
        <w:spacing w:after="0" w:line="240" w:lineRule="auto"/>
      </w:pPr>
      <w:r>
        <w:continuationSeparator/>
      </w:r>
    </w:p>
  </w:footnote>
  <w:footnote w:id="1">
    <w:p w14:paraId="741D2094" w14:textId="44D5A079" w:rsidR="00E960F3" w:rsidRDefault="00E960F3">
      <w:pPr>
        <w:pStyle w:val="FootnoteText"/>
      </w:pPr>
      <w:r>
        <w:rPr>
          <w:rStyle w:val="FootnoteReference"/>
        </w:rPr>
        <w:footnoteRef/>
      </w:r>
      <w:r>
        <w:t xml:space="preserve"> The Productivity Commission refers to the equity in an older person’s home as a ‘store of wealth’ in </w:t>
      </w:r>
      <w:r w:rsidRPr="00C928A1">
        <w:rPr>
          <w:i/>
        </w:rPr>
        <w:t>Housing decisions of older Australians</w:t>
      </w:r>
      <w:r>
        <w:rPr>
          <w:i/>
        </w:rPr>
        <w:t>,</w:t>
      </w:r>
      <w:r>
        <w:t xml:space="preserve"> Productivity Commission Research Paper, December 2015, p.51</w:t>
      </w:r>
    </w:p>
  </w:footnote>
  <w:footnote w:id="2">
    <w:p w14:paraId="073E73C5" w14:textId="09FE9854" w:rsidR="00E960F3" w:rsidRDefault="00E960F3" w:rsidP="000B76A1">
      <w:pPr>
        <w:pStyle w:val="FootnoteText"/>
        <w:rPr>
          <w:rFonts w:cs="Times New Roman"/>
        </w:rPr>
      </w:pPr>
      <w:r>
        <w:rPr>
          <w:rStyle w:val="FootnoteReference"/>
        </w:rPr>
        <w:footnoteRef/>
      </w:r>
      <w:r>
        <w:t xml:space="preserve"> QCOSS, 2016, The Cost of Living and Age Pensioners Households, Issue 4, p.5</w:t>
      </w:r>
    </w:p>
  </w:footnote>
  <w:footnote w:id="3">
    <w:p w14:paraId="01EBF1CF" w14:textId="77777777" w:rsidR="00E960F3" w:rsidRDefault="00E960F3" w:rsidP="000B76A1">
      <w:pPr>
        <w:pStyle w:val="FootnoteText"/>
      </w:pPr>
      <w:r>
        <w:rPr>
          <w:rStyle w:val="FootnoteReference"/>
        </w:rPr>
        <w:footnoteRef/>
      </w:r>
      <w:r>
        <w:t xml:space="preserve"> QGSO, 2015, Queensland Seniors, 2013-14, p.6 </w:t>
      </w:r>
    </w:p>
  </w:footnote>
  <w:footnote w:id="4">
    <w:p w14:paraId="53A8503D" w14:textId="77777777" w:rsidR="00E960F3" w:rsidRDefault="00E960F3" w:rsidP="000B76A1">
      <w:pPr>
        <w:pStyle w:val="FootnoteText"/>
      </w:pPr>
      <w:r>
        <w:rPr>
          <w:rStyle w:val="FootnoteReference"/>
        </w:rPr>
        <w:footnoteRef/>
      </w:r>
      <w:r>
        <w:t xml:space="preserve"> Peterson, Parsell, Phillips and White, </w:t>
      </w:r>
      <w:r>
        <w:rPr>
          <w:i/>
        </w:rPr>
        <w:t xml:space="preserve">Preventing first time homelessness amongst older Australians, </w:t>
      </w:r>
      <w:r>
        <w:t xml:space="preserve">University of Queensland, AHURI 2014 </w:t>
      </w:r>
    </w:p>
  </w:footnote>
  <w:footnote w:id="5">
    <w:p w14:paraId="7B1B1D49" w14:textId="77777777" w:rsidR="00E960F3" w:rsidRDefault="00E960F3" w:rsidP="000B76A1">
      <w:pPr>
        <w:pStyle w:val="FootnoteText"/>
      </w:pPr>
      <w:r>
        <w:rPr>
          <w:rStyle w:val="FootnoteReference"/>
        </w:rPr>
        <w:footnoteRef/>
      </w:r>
      <w:r>
        <w:t xml:space="preserve"> Centre for Disease Control and Prevention, 2013, Healthy Places Terminology</w:t>
      </w:r>
    </w:p>
  </w:footnote>
  <w:footnote w:id="6">
    <w:p w14:paraId="7397A479" w14:textId="4EBFDF81" w:rsidR="00E960F3" w:rsidRPr="00EA00C0" w:rsidRDefault="00E960F3" w:rsidP="000D18B4">
      <w:pPr>
        <w:pStyle w:val="FootnoteText"/>
      </w:pPr>
      <w:r>
        <w:rPr>
          <w:rStyle w:val="FootnoteReference"/>
        </w:rPr>
        <w:footnoteRef/>
      </w:r>
      <w:r>
        <w:t xml:space="preserve"> Australian Bureau of Statistics, 2013, </w:t>
      </w:r>
      <w:r w:rsidRPr="00D16DAE">
        <w:rPr>
          <w:i/>
        </w:rPr>
        <w:t>Au</w:t>
      </w:r>
      <w:r>
        <w:rPr>
          <w:i/>
        </w:rPr>
        <w:t>stralian demographic statistics: Queensland Population Projections</w:t>
      </w:r>
    </w:p>
  </w:footnote>
  <w:footnote w:id="7">
    <w:p w14:paraId="31EFCDA3" w14:textId="727EDDFD" w:rsidR="00E960F3" w:rsidRDefault="00E960F3" w:rsidP="00E6679A">
      <w:pPr>
        <w:pStyle w:val="FootnoteText"/>
      </w:pPr>
      <w:r>
        <w:rPr>
          <w:rStyle w:val="FootnoteReference"/>
        </w:rPr>
        <w:footnoteRef/>
      </w:r>
      <w:r>
        <w:t xml:space="preserve"> Queensland Government population projections, 2015, and ABS 3101.0, Australian Demographic Statistics</w:t>
      </w:r>
    </w:p>
  </w:footnote>
  <w:footnote w:id="8">
    <w:p w14:paraId="2FA03006" w14:textId="37EE4F05" w:rsidR="00E960F3" w:rsidRDefault="00E960F3" w:rsidP="001D4AA0">
      <w:pPr>
        <w:autoSpaceDE w:val="0"/>
        <w:autoSpaceDN w:val="0"/>
        <w:adjustRightInd w:val="0"/>
        <w:spacing w:after="0" w:line="240" w:lineRule="auto"/>
      </w:pPr>
      <w:r>
        <w:rPr>
          <w:rStyle w:val="FootnoteReference"/>
        </w:rPr>
        <w:footnoteRef/>
      </w:r>
      <w:r>
        <w:t xml:space="preserve"> </w:t>
      </w:r>
      <w:r w:rsidRPr="004C1AE3">
        <w:rPr>
          <w:sz w:val="20"/>
          <w:szCs w:val="20"/>
        </w:rPr>
        <w:t>Queensland Government Statisticians Office,</w:t>
      </w:r>
      <w:r>
        <w:rPr>
          <w:sz w:val="20"/>
          <w:szCs w:val="20"/>
        </w:rPr>
        <w:t xml:space="preserve"> 2015,</w:t>
      </w:r>
      <w:r w:rsidRPr="004C1AE3">
        <w:rPr>
          <w:sz w:val="20"/>
          <w:szCs w:val="20"/>
        </w:rPr>
        <w:t xml:space="preserve"> </w:t>
      </w:r>
      <w:r w:rsidRPr="004C1AE3">
        <w:rPr>
          <w:i/>
          <w:sz w:val="20"/>
          <w:szCs w:val="20"/>
        </w:rPr>
        <w:t>Queensland Seniors 2013-14</w:t>
      </w:r>
    </w:p>
  </w:footnote>
  <w:footnote w:id="9">
    <w:p w14:paraId="2EB647DE" w14:textId="536B98FB" w:rsidR="00E960F3" w:rsidRDefault="00E960F3" w:rsidP="00A07614">
      <w:pPr>
        <w:pStyle w:val="FootnoteText"/>
      </w:pPr>
      <w:r>
        <w:rPr>
          <w:rStyle w:val="FootnoteReference"/>
        </w:rPr>
        <w:footnoteRef/>
      </w:r>
      <w:r>
        <w:t xml:space="preserve"> Australian Bureau of Statistics, 2015, </w:t>
      </w:r>
      <w:r w:rsidRPr="004C1AE3">
        <w:rPr>
          <w:i/>
        </w:rPr>
        <w:t>Queensland Government population projections</w:t>
      </w:r>
      <w:r>
        <w:t xml:space="preserve">, </w:t>
      </w:r>
    </w:p>
  </w:footnote>
  <w:footnote w:id="10">
    <w:p w14:paraId="57B0BE1B" w14:textId="77777777" w:rsidR="00E960F3" w:rsidRDefault="00E960F3" w:rsidP="000D18B4">
      <w:pPr>
        <w:autoSpaceDE w:val="0"/>
        <w:autoSpaceDN w:val="0"/>
        <w:adjustRightInd w:val="0"/>
        <w:spacing w:after="0" w:line="240" w:lineRule="auto"/>
      </w:pPr>
      <w:r>
        <w:rPr>
          <w:rStyle w:val="FootnoteReference"/>
        </w:rPr>
        <w:footnoteRef/>
      </w:r>
      <w:r>
        <w:t xml:space="preserve"> </w:t>
      </w:r>
      <w:r w:rsidRPr="0005526D">
        <w:rPr>
          <w:sz w:val="20"/>
          <w:szCs w:val="20"/>
        </w:rPr>
        <w:t>Australian Bureau of Statistics,</w:t>
      </w:r>
      <w:r>
        <w:t xml:space="preserve"> </w:t>
      </w:r>
      <w:r w:rsidRPr="004C1AE3">
        <w:rPr>
          <w:rFonts w:cs="Arial"/>
          <w:i/>
          <w:iCs/>
          <w:sz w:val="20"/>
          <w:szCs w:val="20"/>
        </w:rPr>
        <w:t>Estimates and projections</w:t>
      </w:r>
      <w:r>
        <w:rPr>
          <w:rFonts w:cs="Arial"/>
          <w:i/>
          <w:iCs/>
          <w:sz w:val="20"/>
          <w:szCs w:val="20"/>
        </w:rPr>
        <w:t xml:space="preserve">: </w:t>
      </w:r>
      <w:r w:rsidRPr="004C1AE3">
        <w:rPr>
          <w:rFonts w:cs="Arial"/>
          <w:i/>
          <w:iCs/>
          <w:sz w:val="20"/>
          <w:szCs w:val="20"/>
        </w:rPr>
        <w:t>Aboriginal and Torres Strait Islander Australians</w:t>
      </w:r>
      <w:r>
        <w:rPr>
          <w:rFonts w:cs="Arial"/>
          <w:i/>
          <w:iCs/>
          <w:sz w:val="20"/>
          <w:szCs w:val="20"/>
        </w:rPr>
        <w:t xml:space="preserve"> </w:t>
      </w:r>
      <w:r w:rsidRPr="004C1AE3">
        <w:rPr>
          <w:rFonts w:cs="Arial"/>
          <w:i/>
          <w:iCs/>
          <w:sz w:val="20"/>
          <w:szCs w:val="20"/>
        </w:rPr>
        <w:t>2001 to 202</w:t>
      </w:r>
      <w:r>
        <w:rPr>
          <w:rFonts w:cs="Arial"/>
          <w:i/>
          <w:iCs/>
          <w:sz w:val="20"/>
          <w:szCs w:val="20"/>
        </w:rPr>
        <w:t>6</w:t>
      </w:r>
    </w:p>
  </w:footnote>
  <w:footnote w:id="11">
    <w:p w14:paraId="3279EE1F" w14:textId="6EB4A52D" w:rsidR="00E960F3" w:rsidRDefault="00E960F3" w:rsidP="000D18B4">
      <w:pPr>
        <w:pStyle w:val="FootnoteText"/>
      </w:pPr>
      <w:r>
        <w:rPr>
          <w:rStyle w:val="FootnoteReference"/>
        </w:rPr>
        <w:footnoteRef/>
      </w:r>
      <w:r>
        <w:t xml:space="preserve"> </w:t>
      </w:r>
      <w:r w:rsidRPr="00572DD8">
        <w:t>Queensland Government Statisticians Office,</w:t>
      </w:r>
      <w:r>
        <w:t xml:space="preserve"> 2015,</w:t>
      </w:r>
      <w:r w:rsidRPr="00572DD8">
        <w:t xml:space="preserve"> </w:t>
      </w:r>
      <w:r w:rsidRPr="00572DD8">
        <w:rPr>
          <w:i/>
        </w:rPr>
        <w:t>Queensland Seniors 2013-14</w:t>
      </w:r>
    </w:p>
  </w:footnote>
  <w:footnote w:id="12">
    <w:p w14:paraId="0AB0ECB6" w14:textId="370E1F12" w:rsidR="00E960F3" w:rsidRDefault="00E960F3" w:rsidP="000D18B4">
      <w:pPr>
        <w:pStyle w:val="FootnoteText"/>
      </w:pPr>
      <w:r>
        <w:rPr>
          <w:rStyle w:val="FootnoteReference"/>
        </w:rPr>
        <w:footnoteRef/>
      </w:r>
      <w:r>
        <w:t xml:space="preserve"> Australian Bureau of Statistics, 2012, </w:t>
      </w:r>
      <w:r w:rsidRPr="00CC6083">
        <w:rPr>
          <w:i/>
        </w:rPr>
        <w:t>Disability, Ag</w:t>
      </w:r>
      <w:r>
        <w:rPr>
          <w:i/>
        </w:rPr>
        <w:t>eing and Carers, Australia</w:t>
      </w:r>
    </w:p>
  </w:footnote>
  <w:footnote w:id="13">
    <w:p w14:paraId="4075C69A" w14:textId="3002E3E3" w:rsidR="00E960F3" w:rsidRDefault="00E960F3" w:rsidP="00C0171C">
      <w:pPr>
        <w:pStyle w:val="FootnoteText"/>
      </w:pPr>
      <w:r>
        <w:rPr>
          <w:rStyle w:val="FootnoteReference"/>
        </w:rPr>
        <w:footnoteRef/>
      </w:r>
      <w:r>
        <w:t xml:space="preserve"> Australian Bureau of Statistics, 2011, Census of Population and Housing</w:t>
      </w:r>
    </w:p>
  </w:footnote>
  <w:footnote w:id="14">
    <w:p w14:paraId="1B92AF9D" w14:textId="0BBE50B1" w:rsidR="00E960F3" w:rsidRDefault="00E960F3">
      <w:pPr>
        <w:pStyle w:val="FootnoteText"/>
      </w:pPr>
      <w:r>
        <w:rPr>
          <w:rStyle w:val="FootnoteReference"/>
        </w:rPr>
        <w:footnoteRef/>
      </w:r>
      <w:r>
        <w:t xml:space="preserve"> Note:  Where people had bought into, or were renting in a Retirement Village or a Manufactured Homes park, these people were included in the Retirement Village/Manufactured Homes category, rather than the home-owning or private rental categories.</w:t>
      </w:r>
    </w:p>
  </w:footnote>
  <w:footnote w:id="15">
    <w:p w14:paraId="0150DC8A" w14:textId="77777777" w:rsidR="00E960F3" w:rsidRDefault="00E960F3" w:rsidP="00D314B5">
      <w:pPr>
        <w:pStyle w:val="FootnoteText"/>
      </w:pPr>
      <w:r>
        <w:rPr>
          <w:rStyle w:val="FootnoteReference"/>
        </w:rPr>
        <w:footnoteRef/>
      </w:r>
      <w:r>
        <w:t xml:space="preserve"> Australian Bureau of Statistics, 2011, Census of Population and Housing  </w:t>
      </w:r>
    </w:p>
  </w:footnote>
  <w:footnote w:id="16">
    <w:p w14:paraId="16293E67" w14:textId="30337491" w:rsidR="00E960F3" w:rsidRDefault="00E960F3" w:rsidP="000D18B4">
      <w:pPr>
        <w:pStyle w:val="FootnoteText"/>
      </w:pPr>
      <w:r>
        <w:rPr>
          <w:rStyle w:val="FootnoteReference"/>
        </w:rPr>
        <w:footnoteRef/>
      </w:r>
      <w:r>
        <w:t xml:space="preserve"> COTA, 2013, </w:t>
      </w:r>
      <w:r w:rsidRPr="00376644">
        <w:rPr>
          <w:i/>
        </w:rPr>
        <w:t>Achieving sustainable seniors housing</w:t>
      </w:r>
      <w:r>
        <w:t xml:space="preserve">  </w:t>
      </w:r>
    </w:p>
  </w:footnote>
  <w:footnote w:id="17">
    <w:p w14:paraId="474BA599" w14:textId="72E45467" w:rsidR="00E960F3" w:rsidRDefault="00E960F3" w:rsidP="000D18B4">
      <w:pPr>
        <w:pStyle w:val="FootnoteText"/>
      </w:pPr>
      <w:r>
        <w:rPr>
          <w:rStyle w:val="FootnoteReference"/>
        </w:rPr>
        <w:footnoteRef/>
      </w:r>
      <w:r>
        <w:t xml:space="preserve"> Peterson and Jones, 2013, p. 102</w:t>
      </w:r>
    </w:p>
  </w:footnote>
  <w:footnote w:id="18">
    <w:p w14:paraId="3C1CBC0E" w14:textId="05E593CC" w:rsidR="00E960F3" w:rsidRDefault="00E960F3" w:rsidP="000D18B4">
      <w:pPr>
        <w:pStyle w:val="FootnoteText"/>
      </w:pPr>
      <w:r>
        <w:rPr>
          <w:rStyle w:val="FootnoteReference"/>
        </w:rPr>
        <w:footnoteRef/>
      </w:r>
      <w:r>
        <w:t xml:space="preserve"> Jones, A, Bell, M, Tilse, C, &amp; Earl, G., 2007, </w:t>
      </w:r>
      <w:r>
        <w:rPr>
          <w:i/>
          <w:iCs/>
        </w:rPr>
        <w:t>Rental housing provision for lower-income older Australians</w:t>
      </w:r>
      <w:r>
        <w:t>. Queensland Research Centre: AHURI. Cited in Peterson and Jones, 2013, p. 102</w:t>
      </w:r>
    </w:p>
  </w:footnote>
  <w:footnote w:id="19">
    <w:p w14:paraId="35674299" w14:textId="6A64AB6A" w:rsidR="00E960F3" w:rsidRDefault="00E960F3" w:rsidP="000D18B4">
      <w:pPr>
        <w:pStyle w:val="FootnoteText"/>
      </w:pPr>
      <w:r>
        <w:rPr>
          <w:rStyle w:val="FootnoteReference"/>
        </w:rPr>
        <w:footnoteRef/>
      </w:r>
      <w:r>
        <w:t xml:space="preserve"> </w:t>
      </w:r>
      <w:r w:rsidRPr="002F00A1">
        <w:t>Peterson, Parsell, Phillips and White</w:t>
      </w:r>
      <w:r>
        <w:t xml:space="preserve">, 2014, </w:t>
      </w:r>
      <w:r w:rsidRPr="00757D59">
        <w:rPr>
          <w:i/>
        </w:rPr>
        <w:t>Preventing first time homelessness amongst older Australians</w:t>
      </w:r>
      <w:r w:rsidRPr="002F00A1">
        <w:t>, University of Qld, AHURI</w:t>
      </w:r>
    </w:p>
  </w:footnote>
  <w:footnote w:id="20">
    <w:p w14:paraId="5572B56E" w14:textId="5A24F480" w:rsidR="00E960F3" w:rsidRDefault="00E960F3" w:rsidP="000D18B4">
      <w:pPr>
        <w:pStyle w:val="FootnoteText"/>
      </w:pPr>
      <w:r>
        <w:rPr>
          <w:rStyle w:val="FootnoteReference"/>
        </w:rPr>
        <w:footnoteRef/>
      </w:r>
      <w:r>
        <w:t xml:space="preserve"> QGSO, 2015, </w:t>
      </w:r>
      <w:r w:rsidRPr="00036FA6">
        <w:rPr>
          <w:i/>
        </w:rPr>
        <w:t>Queensland Seniors, 2013-14</w:t>
      </w:r>
      <w:r>
        <w:t>, p. 6</w:t>
      </w:r>
    </w:p>
  </w:footnote>
  <w:footnote w:id="21">
    <w:p w14:paraId="2CA7329A" w14:textId="759B8B81" w:rsidR="00E960F3" w:rsidRDefault="00E960F3">
      <w:pPr>
        <w:pStyle w:val="FootnoteText"/>
      </w:pPr>
      <w:r>
        <w:rPr>
          <w:rStyle w:val="FootnoteReference"/>
        </w:rPr>
        <w:footnoteRef/>
      </w:r>
      <w:r>
        <w:t xml:space="preserve"> QCOSS, 2016, </w:t>
      </w:r>
      <w:r w:rsidRPr="00145A09">
        <w:rPr>
          <w:i/>
        </w:rPr>
        <w:t>The cost of living and age pensioner households</w:t>
      </w:r>
      <w:r>
        <w:t>, Issue 4, p. 5</w:t>
      </w:r>
    </w:p>
  </w:footnote>
  <w:footnote w:id="22">
    <w:p w14:paraId="622284F5" w14:textId="77777777" w:rsidR="00E960F3" w:rsidRDefault="00E960F3" w:rsidP="000D18B4">
      <w:pPr>
        <w:pStyle w:val="FootnoteText"/>
      </w:pPr>
      <w:r>
        <w:rPr>
          <w:rStyle w:val="FootnoteReference"/>
        </w:rPr>
        <w:footnoteRef/>
      </w:r>
      <w:r>
        <w:t xml:space="preserve"> Right-sizing refers to transitioning to optimal housing regardless of physical size</w:t>
      </w:r>
    </w:p>
  </w:footnote>
  <w:footnote w:id="23">
    <w:p w14:paraId="161E3F1E" w14:textId="77777777" w:rsidR="00E960F3" w:rsidRDefault="00E960F3" w:rsidP="0096070A">
      <w:pPr>
        <w:pStyle w:val="FootnoteText"/>
      </w:pPr>
      <w:r>
        <w:rPr>
          <w:rStyle w:val="FootnoteReference"/>
        </w:rPr>
        <w:footnoteRef/>
      </w:r>
      <w:r>
        <w:t xml:space="preserve"> Center for Disease Control and Prevention, 2013, Healthy Places Terminology, </w:t>
      </w:r>
      <w:r w:rsidRPr="00CF315C">
        <w:t xml:space="preserve"> </w:t>
      </w:r>
      <w:hyperlink r:id="rId1" w:history="1">
        <w:r w:rsidRPr="00B73562">
          <w:rPr>
            <w:rStyle w:val="Hyperlink"/>
          </w:rPr>
          <w:t>https://www.cdc.gov/healthyplaces/terminology.htm</w:t>
        </w:r>
      </w:hyperlink>
      <w:r>
        <w:tab/>
      </w:r>
    </w:p>
  </w:footnote>
  <w:footnote w:id="24">
    <w:p w14:paraId="216830E0" w14:textId="6B43C228" w:rsidR="00E960F3" w:rsidRPr="00EF4A3F" w:rsidRDefault="00E960F3" w:rsidP="0096070A">
      <w:pPr>
        <w:pStyle w:val="Copyrightbodytext"/>
        <w:spacing w:before="0"/>
      </w:pPr>
      <w:r>
        <w:rPr>
          <w:rStyle w:val="FootnoteReference"/>
          <w:rFonts w:eastAsiaTheme="majorEastAsia"/>
        </w:rPr>
        <w:footnoteRef/>
      </w:r>
      <w:r>
        <w:t xml:space="preserve"> </w:t>
      </w:r>
      <w:r w:rsidRPr="00EF4A3F">
        <w:rPr>
          <w:rFonts w:asciiTheme="minorHAnsi" w:eastAsiaTheme="minorHAnsi" w:hAnsiTheme="minorHAnsi" w:cstheme="minorBidi"/>
          <w:lang w:eastAsia="en-US"/>
        </w:rPr>
        <w:t>Australian Productivity Commission</w:t>
      </w:r>
      <w:r>
        <w:rPr>
          <w:rFonts w:asciiTheme="minorHAnsi" w:eastAsiaTheme="minorHAnsi" w:hAnsiTheme="minorHAnsi" w:cstheme="minorBidi"/>
          <w:lang w:eastAsia="en-US"/>
        </w:rPr>
        <w:t xml:space="preserve">, </w:t>
      </w:r>
      <w:r w:rsidRPr="00EF4A3F">
        <w:rPr>
          <w:rFonts w:asciiTheme="minorHAnsi" w:eastAsiaTheme="minorHAnsi" w:hAnsiTheme="minorHAnsi" w:cstheme="minorBidi"/>
          <w:lang w:eastAsia="en-US"/>
        </w:rPr>
        <w:t xml:space="preserve">2015, </w:t>
      </w:r>
      <w:r w:rsidRPr="00EF4A3F">
        <w:rPr>
          <w:rFonts w:asciiTheme="minorHAnsi" w:eastAsiaTheme="minorHAnsi" w:hAnsiTheme="minorHAnsi" w:cstheme="minorBidi"/>
          <w:i/>
          <w:lang w:eastAsia="en-US"/>
        </w:rPr>
        <w:t>Housing Decisions of Older Australians</w:t>
      </w:r>
      <w:r w:rsidRPr="00EF4A3F">
        <w:rPr>
          <w:rFonts w:asciiTheme="minorHAnsi" w:eastAsiaTheme="minorHAnsi" w:hAnsiTheme="minorHAnsi" w:cstheme="minorBidi"/>
          <w:lang w:eastAsia="en-US"/>
        </w:rPr>
        <w:t xml:space="preserve"> Research Paper</w:t>
      </w:r>
    </w:p>
  </w:footnote>
  <w:footnote w:id="25">
    <w:p w14:paraId="3527C616" w14:textId="60D20C43" w:rsidR="00E960F3" w:rsidRPr="00B433B0" w:rsidRDefault="00E960F3" w:rsidP="0096070A">
      <w:pPr>
        <w:autoSpaceDE w:val="0"/>
        <w:autoSpaceDN w:val="0"/>
        <w:adjustRightInd w:val="0"/>
        <w:spacing w:after="0" w:line="240" w:lineRule="auto"/>
      </w:pPr>
      <w:r>
        <w:rPr>
          <w:rStyle w:val="FootnoteReference"/>
        </w:rPr>
        <w:footnoteRef/>
      </w:r>
      <w:r>
        <w:t xml:space="preserve"> </w:t>
      </w:r>
      <w:r w:rsidRPr="00B433B0">
        <w:rPr>
          <w:sz w:val="20"/>
          <w:szCs w:val="20"/>
        </w:rPr>
        <w:t>Clemson, L., Kendig, H, Mackenzie, L, Browning, C</w:t>
      </w:r>
      <w:r w:rsidRPr="00B433B0">
        <w:rPr>
          <w:rFonts w:cs="Times New Roman"/>
          <w:sz w:val="20"/>
          <w:szCs w:val="20"/>
        </w:rPr>
        <w:t>.</w:t>
      </w:r>
      <w:r>
        <w:rPr>
          <w:rFonts w:cs="Times New Roman"/>
          <w:sz w:val="20"/>
          <w:szCs w:val="20"/>
        </w:rPr>
        <w:t xml:space="preserve"> </w:t>
      </w:r>
      <w:r w:rsidRPr="00B433B0">
        <w:rPr>
          <w:rFonts w:cs="Times New Roman"/>
          <w:sz w:val="20"/>
          <w:szCs w:val="20"/>
        </w:rPr>
        <w:t>2015</w:t>
      </w:r>
      <w:r>
        <w:rPr>
          <w:rFonts w:cs="Times New Roman"/>
          <w:sz w:val="20"/>
          <w:szCs w:val="20"/>
        </w:rPr>
        <w:t>,</w:t>
      </w:r>
      <w:r w:rsidRPr="00B433B0">
        <w:rPr>
          <w:rFonts w:cs="Times New Roman"/>
          <w:sz w:val="20"/>
          <w:szCs w:val="20"/>
        </w:rPr>
        <w:t xml:space="preserve"> </w:t>
      </w:r>
      <w:r w:rsidRPr="00B433B0">
        <w:rPr>
          <w:rFonts w:cs="Times New Roman"/>
          <w:i/>
          <w:sz w:val="20"/>
          <w:szCs w:val="20"/>
        </w:rPr>
        <w:t>Predictors of Injurious Falls and Fear of Falling Differ: An 11- Year Longitudinal Study of Incident Events in Older People</w:t>
      </w:r>
      <w:r w:rsidRPr="00B433B0">
        <w:rPr>
          <w:rFonts w:cs="Times New Roman"/>
          <w:sz w:val="20"/>
          <w:szCs w:val="20"/>
        </w:rPr>
        <w:t xml:space="preserve">. </w:t>
      </w:r>
      <w:r w:rsidRPr="00B433B0">
        <w:rPr>
          <w:rFonts w:cs="Times New Roman"/>
          <w:iCs/>
          <w:sz w:val="20"/>
          <w:szCs w:val="20"/>
        </w:rPr>
        <w:t>Journal of Aging and Health</w:t>
      </w:r>
      <w:r w:rsidRPr="00B433B0">
        <w:rPr>
          <w:rFonts w:cs="Times New Roman"/>
          <w:sz w:val="20"/>
          <w:szCs w:val="20"/>
        </w:rPr>
        <w:t xml:space="preserve">, 27(2), </w:t>
      </w:r>
      <w:r>
        <w:rPr>
          <w:rFonts w:cs="Times New Roman"/>
          <w:sz w:val="20"/>
          <w:szCs w:val="20"/>
        </w:rPr>
        <w:t xml:space="preserve">pp. </w:t>
      </w:r>
      <w:r w:rsidRPr="00B433B0">
        <w:rPr>
          <w:rFonts w:cs="Times New Roman"/>
          <w:sz w:val="20"/>
          <w:szCs w:val="20"/>
        </w:rPr>
        <w:t>239-256.</w:t>
      </w:r>
    </w:p>
  </w:footnote>
  <w:footnote w:id="26">
    <w:p w14:paraId="6153933A" w14:textId="24FEA4FD" w:rsidR="00E960F3" w:rsidRDefault="00E960F3" w:rsidP="000D18B4">
      <w:pPr>
        <w:pStyle w:val="FootnoteText"/>
      </w:pPr>
      <w:r>
        <w:rPr>
          <w:rStyle w:val="FootnoteReference"/>
        </w:rPr>
        <w:footnoteRef/>
      </w:r>
      <w:r>
        <w:t xml:space="preserve"> </w:t>
      </w:r>
      <w:r w:rsidRPr="00624056">
        <w:t>Baldwin, C, Osborne, C, and Smith, P, 2012</w:t>
      </w:r>
      <w:r>
        <w:t>,</w:t>
      </w:r>
      <w:r w:rsidRPr="00624056">
        <w:t xml:space="preserve"> </w:t>
      </w:r>
      <w:r w:rsidRPr="00624056">
        <w:rPr>
          <w:i/>
        </w:rPr>
        <w:t>Infill Development for Older Australians in South East Queensland: An analysis of the preferences of older people in the urban environment</w:t>
      </w:r>
      <w:r>
        <w:t>,</w:t>
      </w:r>
      <w:r w:rsidRPr="00624056">
        <w:t xml:space="preserve"> Un</w:t>
      </w:r>
      <w:r>
        <w:t>iversity of the Sunshine Coast, p. 4</w:t>
      </w:r>
    </w:p>
  </w:footnote>
  <w:footnote w:id="27">
    <w:p w14:paraId="5E440B4F" w14:textId="4EC497A8" w:rsidR="00E960F3" w:rsidRDefault="00E960F3" w:rsidP="000D18B4">
      <w:pPr>
        <w:pStyle w:val="FootnoteText"/>
      </w:pPr>
      <w:r>
        <w:rPr>
          <w:rStyle w:val="FootnoteReference"/>
        </w:rPr>
        <w:footnoteRef/>
      </w:r>
      <w:r>
        <w:t xml:space="preserve"> </w:t>
      </w:r>
      <w:r w:rsidRPr="00EF4A3F">
        <w:t>Australian Productivity Commission</w:t>
      </w:r>
      <w:r>
        <w:t>,</w:t>
      </w:r>
      <w:r w:rsidRPr="00EF4A3F">
        <w:t xml:space="preserve"> 2015, </w:t>
      </w:r>
      <w:r w:rsidRPr="00EF4A3F">
        <w:rPr>
          <w:i/>
        </w:rPr>
        <w:t>Housing Decisions of Older Australians</w:t>
      </w:r>
      <w:r w:rsidRPr="00EF4A3F">
        <w:t xml:space="preserve"> Commission Research Paper </w:t>
      </w:r>
    </w:p>
  </w:footnote>
  <w:footnote w:id="28">
    <w:p w14:paraId="7372BD79" w14:textId="3E64E1C9" w:rsidR="00E960F3" w:rsidRDefault="00E960F3" w:rsidP="000D18B4">
      <w:pPr>
        <w:pStyle w:val="FootnoteText"/>
      </w:pPr>
      <w:r>
        <w:rPr>
          <w:rStyle w:val="FootnoteReference"/>
        </w:rPr>
        <w:footnoteRef/>
      </w:r>
      <w:r>
        <w:t xml:space="preserve"> </w:t>
      </w:r>
      <w:r w:rsidRPr="00AB725C">
        <w:t>Judd, B, 2014</w:t>
      </w:r>
      <w:r>
        <w:t>,</w:t>
      </w:r>
      <w:r w:rsidRPr="00AB725C">
        <w:t xml:space="preserve"> Housing utilisation and downsizing amongst older Australians - presentation, AHURI Research Centre</w:t>
      </w:r>
      <w:r>
        <w:t xml:space="preserve">, </w:t>
      </w:r>
      <w:r w:rsidRPr="00AB725C">
        <w:t>University of New South Wales.</w:t>
      </w:r>
    </w:p>
  </w:footnote>
  <w:footnote w:id="29">
    <w:p w14:paraId="13DBBAC1" w14:textId="31D6B254" w:rsidR="00E960F3" w:rsidRDefault="00E960F3" w:rsidP="000D18B4">
      <w:pPr>
        <w:pStyle w:val="FootnoteText"/>
      </w:pPr>
      <w:r>
        <w:rPr>
          <w:rStyle w:val="FootnoteReference"/>
        </w:rPr>
        <w:footnoteRef/>
      </w:r>
      <w:r>
        <w:t xml:space="preserve"> National Seniors Australia, 2015, </w:t>
      </w:r>
      <w:r w:rsidRPr="00AB725C">
        <w:rPr>
          <w:i/>
        </w:rPr>
        <w:t>Seniors downsizing on their own terms: Overcoming planning, legal and policy impediments to the creation of alternative retirement communities</w:t>
      </w:r>
      <w:r w:rsidRPr="00757D59">
        <w:t xml:space="preserve">, </w:t>
      </w:r>
      <w:r>
        <w:t>Productive Ageing Centre, Melbourne</w:t>
      </w:r>
    </w:p>
  </w:footnote>
  <w:footnote w:id="30">
    <w:p w14:paraId="6F9831E3" w14:textId="65292931" w:rsidR="00E960F3" w:rsidRPr="005A5A39" w:rsidRDefault="00E960F3" w:rsidP="000D18B4">
      <w:pPr>
        <w:pStyle w:val="FootnoteText"/>
      </w:pPr>
      <w:r>
        <w:rPr>
          <w:rStyle w:val="FootnoteReference"/>
        </w:rPr>
        <w:footnoteRef/>
      </w:r>
      <w:r>
        <w:t xml:space="preserve"> Healy, J, 2004, </w:t>
      </w:r>
      <w:r>
        <w:rPr>
          <w:i/>
        </w:rPr>
        <w:t xml:space="preserve">The Benefits of an Ageing Population, </w:t>
      </w:r>
      <w:r>
        <w:t xml:space="preserve">The Australia Institute, Australian National University </w:t>
      </w:r>
    </w:p>
  </w:footnote>
  <w:footnote w:id="31">
    <w:p w14:paraId="3CBEBF03" w14:textId="0FEE05E5" w:rsidR="00E960F3" w:rsidRDefault="00E960F3" w:rsidP="000D18B4">
      <w:pPr>
        <w:pStyle w:val="FootnoteText"/>
      </w:pPr>
      <w:r>
        <w:rPr>
          <w:rStyle w:val="FootnoteReference"/>
        </w:rPr>
        <w:footnoteRef/>
      </w:r>
      <w:r>
        <w:t xml:space="preserve"> Australian Human Rights Commission, 2010, </w:t>
      </w:r>
      <w:r>
        <w:rPr>
          <w:i/>
        </w:rPr>
        <w:t xml:space="preserve">Age discrimination – exposing the hidden barrier for mature age workers </w:t>
      </w:r>
      <w:r>
        <w:t>Report, 2010, p. 13</w:t>
      </w:r>
    </w:p>
  </w:footnote>
  <w:footnote w:id="32">
    <w:p w14:paraId="7CB29F24" w14:textId="6B8E3C7D" w:rsidR="00E960F3" w:rsidRPr="009E26E0" w:rsidRDefault="00E960F3" w:rsidP="000D18B4">
      <w:pPr>
        <w:pStyle w:val="FootnoteText"/>
      </w:pPr>
      <w:r>
        <w:rPr>
          <w:rStyle w:val="FootnoteReference"/>
        </w:rPr>
        <w:footnoteRef/>
      </w:r>
      <w:r>
        <w:t xml:space="preserve"> Australian Human Rights Commission, 2010, </w:t>
      </w:r>
      <w:r>
        <w:rPr>
          <w:i/>
        </w:rPr>
        <w:t xml:space="preserve">Age discrimination – exposing the hidden barrier for mature age workers </w:t>
      </w:r>
      <w:r>
        <w:t xml:space="preserve">Report, 2010, p. 17  </w:t>
      </w:r>
    </w:p>
  </w:footnote>
  <w:footnote w:id="33">
    <w:p w14:paraId="6B902C19" w14:textId="64A880BB" w:rsidR="00E960F3" w:rsidRDefault="00E960F3" w:rsidP="000D18B4">
      <w:pPr>
        <w:pStyle w:val="FootnoteText"/>
      </w:pPr>
      <w:r>
        <w:rPr>
          <w:rStyle w:val="FootnoteReference"/>
        </w:rPr>
        <w:footnoteRef/>
      </w:r>
      <w:r>
        <w:t xml:space="preserve"> Healy, J, 2004, </w:t>
      </w:r>
      <w:r>
        <w:rPr>
          <w:i/>
        </w:rPr>
        <w:t xml:space="preserve">The Benefits of an Ageing Population, </w:t>
      </w:r>
      <w:r>
        <w:t>The Australia Institute, Australian National University</w:t>
      </w:r>
    </w:p>
  </w:footnote>
  <w:footnote w:id="34">
    <w:p w14:paraId="14F8BD63" w14:textId="3675C7BE" w:rsidR="00E960F3" w:rsidRDefault="00E960F3" w:rsidP="000D18B4">
      <w:pPr>
        <w:pStyle w:val="FootnoteText"/>
      </w:pPr>
      <w:r>
        <w:rPr>
          <w:rStyle w:val="FootnoteReference"/>
        </w:rPr>
        <w:footnoteRef/>
      </w:r>
      <w:r>
        <w:t xml:space="preserve"> </w:t>
      </w:r>
      <w:r w:rsidRPr="00315C7D">
        <w:rPr>
          <w:i/>
        </w:rPr>
        <w:t xml:space="preserve">Review of Australian Research on Older People from Culturally and Linguistically </w:t>
      </w:r>
      <w:r w:rsidRPr="00315C7D">
        <w:t>Diverse Backgrounds</w:t>
      </w:r>
      <w:r>
        <w:t xml:space="preserve">, </w:t>
      </w:r>
      <w:r w:rsidRPr="00315C7D">
        <w:t>2015, Federation of Ethnic Communities Councils Australia</w:t>
      </w:r>
    </w:p>
  </w:footnote>
  <w:footnote w:id="35">
    <w:p w14:paraId="25862DA6" w14:textId="45D4E361" w:rsidR="00E960F3" w:rsidRDefault="00E960F3">
      <w:pPr>
        <w:pStyle w:val="FootnoteText"/>
      </w:pPr>
      <w:r>
        <w:rPr>
          <w:rStyle w:val="FootnoteReference"/>
        </w:rPr>
        <w:footnoteRef/>
      </w:r>
      <w:r>
        <w:t xml:space="preserve"> QCOSS, 2016, </w:t>
      </w:r>
      <w:r w:rsidRPr="00145A09">
        <w:rPr>
          <w:i/>
        </w:rPr>
        <w:t>The cost of living and age pensioner households</w:t>
      </w:r>
      <w:r>
        <w:t>, Issue 4, 2016, p. 5</w:t>
      </w:r>
    </w:p>
  </w:footnote>
  <w:footnote w:id="36">
    <w:p w14:paraId="2791F300" w14:textId="73549B44" w:rsidR="00E960F3" w:rsidRDefault="00E960F3" w:rsidP="000D18B4">
      <w:pPr>
        <w:pStyle w:val="FootnoteText"/>
      </w:pPr>
      <w:r>
        <w:rPr>
          <w:rStyle w:val="FootnoteReference"/>
        </w:rPr>
        <w:footnoteRef/>
      </w:r>
      <w:r>
        <w:t xml:space="preserve"> </w:t>
      </w:r>
      <w:r w:rsidRPr="004C1AE3">
        <w:t>Communities, Disability Services and Domestic and Family Violence Prevention Committee</w:t>
      </w:r>
      <w:r>
        <w:t xml:space="preserve">, </w:t>
      </w:r>
      <w:r w:rsidRPr="004C1AE3">
        <w:t>2015</w:t>
      </w:r>
      <w:r>
        <w:t>,</w:t>
      </w:r>
      <w:r>
        <w:rPr>
          <w:i/>
        </w:rPr>
        <w:t xml:space="preserve"> </w:t>
      </w:r>
      <w:r w:rsidRPr="00D16DAE">
        <w:rPr>
          <w:i/>
        </w:rPr>
        <w:t>Inquiry into the adequacy of existing financial protections of Queensland’s seniors</w:t>
      </w:r>
      <w:r>
        <w:rPr>
          <w:i/>
        </w:rPr>
        <w:t xml:space="preserve">, </w:t>
      </w:r>
      <w:r w:rsidRPr="004C1AE3">
        <w:t>Report No. 2, August 2015</w:t>
      </w:r>
    </w:p>
  </w:footnote>
  <w:footnote w:id="37">
    <w:p w14:paraId="25241B99" w14:textId="2556FD48" w:rsidR="00E960F3" w:rsidRDefault="00E960F3" w:rsidP="000D18B4">
      <w:pPr>
        <w:pStyle w:val="FootnoteText"/>
      </w:pPr>
      <w:r>
        <w:rPr>
          <w:rStyle w:val="FootnoteReference"/>
        </w:rPr>
        <w:footnoteRef/>
      </w:r>
      <w:r>
        <w:t xml:space="preserve"> </w:t>
      </w:r>
      <w:r w:rsidRPr="004C1AE3">
        <w:t>Communities, Disability Services and Domestic and Family Violence Prevention Committee</w:t>
      </w:r>
      <w:r>
        <w:t xml:space="preserve">, </w:t>
      </w:r>
      <w:r w:rsidRPr="004C1AE3">
        <w:t>2015</w:t>
      </w:r>
      <w:r>
        <w:rPr>
          <w:i/>
        </w:rPr>
        <w:t xml:space="preserve"> </w:t>
      </w:r>
      <w:r w:rsidRPr="00D16DAE">
        <w:rPr>
          <w:i/>
        </w:rPr>
        <w:t>Inquiry into the adequacy of existing financial protections of Queensland’s seniors</w:t>
      </w:r>
      <w:r>
        <w:rPr>
          <w:i/>
        </w:rPr>
        <w:t xml:space="preserve">, </w:t>
      </w:r>
      <w:r w:rsidRPr="004C1AE3">
        <w:t>Report No. 2, August 2015</w:t>
      </w:r>
    </w:p>
  </w:footnote>
  <w:footnote w:id="38">
    <w:p w14:paraId="754372D4" w14:textId="2B4CEEDE" w:rsidR="00E960F3" w:rsidRDefault="00E960F3" w:rsidP="000D18B4">
      <w:pPr>
        <w:pStyle w:val="FootnoteText"/>
      </w:pPr>
      <w:r>
        <w:rPr>
          <w:rStyle w:val="FootnoteReference"/>
        </w:rPr>
        <w:footnoteRef/>
      </w:r>
      <w:r>
        <w:t xml:space="preserve"> Lusardi A, Mitchell OS, 2009, Financial literacy: evidence and implications for financial education</w:t>
      </w:r>
    </w:p>
  </w:footnote>
  <w:footnote w:id="39">
    <w:p w14:paraId="37991C56" w14:textId="19F7B882" w:rsidR="00E960F3" w:rsidRDefault="00E960F3" w:rsidP="000D18B4">
      <w:pPr>
        <w:pStyle w:val="FootnoteText"/>
      </w:pPr>
      <w:r>
        <w:rPr>
          <w:rStyle w:val="FootnoteReference"/>
        </w:rPr>
        <w:footnoteRef/>
      </w:r>
      <w:r>
        <w:t xml:space="preserve"> Research conducted by Leonie Sanderson of The Ageing Revolution in interviews with older people across Queensland</w:t>
      </w:r>
    </w:p>
  </w:footnote>
  <w:footnote w:id="40">
    <w:p w14:paraId="07E0E9AF" w14:textId="6BA39849" w:rsidR="00E960F3" w:rsidRDefault="00E960F3" w:rsidP="000D18B4">
      <w:pPr>
        <w:pStyle w:val="FootnoteText"/>
      </w:pPr>
      <w:r>
        <w:rPr>
          <w:rStyle w:val="FootnoteReference"/>
        </w:rPr>
        <w:footnoteRef/>
      </w:r>
      <w:r>
        <w:t xml:space="preserve"> </w:t>
      </w:r>
      <w:r w:rsidRPr="00D16DAE">
        <w:t>Communities, Disability Services and Domestic and Family Violence Prevention Committee</w:t>
      </w:r>
      <w:r>
        <w:t xml:space="preserve">, </w:t>
      </w:r>
      <w:r w:rsidRPr="00D16DAE">
        <w:t>2015</w:t>
      </w:r>
      <w:r>
        <w:t>,</w:t>
      </w:r>
      <w:r>
        <w:rPr>
          <w:i/>
        </w:rPr>
        <w:t xml:space="preserve"> </w:t>
      </w:r>
      <w:r w:rsidRPr="00D16DAE">
        <w:rPr>
          <w:i/>
        </w:rPr>
        <w:t>Inquiry into the adequacy of existing financial protections of Queensland’s seniors</w:t>
      </w:r>
      <w:r>
        <w:rPr>
          <w:i/>
        </w:rPr>
        <w:t xml:space="preserve">, </w:t>
      </w:r>
      <w:r w:rsidRPr="00D16DAE">
        <w:t>Report No. 2, August 2015</w:t>
      </w:r>
    </w:p>
  </w:footnote>
  <w:footnote w:id="41">
    <w:p w14:paraId="5A719B44" w14:textId="4A8E1E5D" w:rsidR="00E960F3" w:rsidRDefault="00E960F3" w:rsidP="000D18B4">
      <w:pPr>
        <w:pStyle w:val="FootnoteText"/>
      </w:pPr>
      <w:r>
        <w:rPr>
          <w:rStyle w:val="FootnoteReference"/>
        </w:rPr>
        <w:footnoteRef/>
      </w:r>
      <w:r>
        <w:t xml:space="preserve"> Productivity Commission, </w:t>
      </w:r>
      <w:r w:rsidRPr="0066443E">
        <w:rPr>
          <w:i/>
        </w:rPr>
        <w:t>Housing Decisions of Older Australians</w:t>
      </w:r>
      <w:r>
        <w:t>, Productivity Commission Research Paper, December 2015, Australian Government, p. 20</w:t>
      </w:r>
    </w:p>
  </w:footnote>
  <w:footnote w:id="42">
    <w:p w14:paraId="535E5E7D" w14:textId="7BED6E15" w:rsidR="00E960F3" w:rsidRDefault="00E960F3" w:rsidP="000D18B4">
      <w:pPr>
        <w:pStyle w:val="FootnoteText"/>
      </w:pPr>
      <w:r>
        <w:rPr>
          <w:rStyle w:val="FootnoteReference"/>
        </w:rPr>
        <w:footnoteRef/>
      </w:r>
      <w:r>
        <w:t xml:space="preserve"> </w:t>
      </w:r>
      <w:r>
        <w:rPr>
          <w:rStyle w:val="FootnoteReference"/>
        </w:rPr>
        <w:footnoteRef/>
      </w:r>
      <w:r>
        <w:t xml:space="preserve"> </w:t>
      </w:r>
      <w:r w:rsidRPr="000B7277">
        <w:rPr>
          <w:rFonts w:cs="Arial"/>
        </w:rPr>
        <w:t>The Senate Economics References Committee,</w:t>
      </w:r>
      <w:r>
        <w:rPr>
          <w:rFonts w:cs="Arial"/>
        </w:rPr>
        <w:t xml:space="preserve"> 2015,</w:t>
      </w:r>
      <w:r w:rsidRPr="000B7277">
        <w:rPr>
          <w:rFonts w:cs="Arial"/>
        </w:rPr>
        <w:t xml:space="preserve"> </w:t>
      </w:r>
      <w:r w:rsidRPr="000B7277">
        <w:rPr>
          <w:rFonts w:cs="Arial"/>
          <w:i/>
        </w:rPr>
        <w:t xml:space="preserve">Out of reach? The Australian Housing Affordability Challenge </w:t>
      </w:r>
      <w:r w:rsidRPr="000B7277">
        <w:rPr>
          <w:rFonts w:cs="Arial"/>
        </w:rPr>
        <w:t xml:space="preserve">Commonwealth of Australia, </w:t>
      </w:r>
      <w:r>
        <w:rPr>
          <w:rFonts w:cs="Arial"/>
        </w:rPr>
        <w:t>P.193.</w:t>
      </w:r>
    </w:p>
  </w:footnote>
  <w:footnote w:id="43">
    <w:p w14:paraId="665BB2A1" w14:textId="1E73E393" w:rsidR="00E960F3" w:rsidRDefault="00E960F3" w:rsidP="000D18B4">
      <w:pPr>
        <w:pStyle w:val="FootnoteText"/>
      </w:pPr>
      <w:r>
        <w:rPr>
          <w:rStyle w:val="FootnoteReference"/>
        </w:rPr>
        <w:footnoteRef/>
      </w:r>
      <w:r>
        <w:t xml:space="preserve"> Australian Council of Social Services, 2016, </w:t>
      </w:r>
      <w:r w:rsidRPr="00E10F9C">
        <w:rPr>
          <w:i/>
        </w:rPr>
        <w:t>The Case for Tax Reform: Stamp Duties and Land Tax</w:t>
      </w:r>
      <w:r>
        <w:t xml:space="preserve"> </w:t>
      </w:r>
    </w:p>
  </w:footnote>
  <w:footnote w:id="44">
    <w:p w14:paraId="66E0C6CB" w14:textId="71980DEA" w:rsidR="00E960F3" w:rsidRDefault="00E960F3" w:rsidP="000D18B4">
      <w:pPr>
        <w:pStyle w:val="FootnoteText"/>
      </w:pPr>
      <w:r>
        <w:rPr>
          <w:rStyle w:val="FootnoteReference"/>
        </w:rPr>
        <w:footnoteRef/>
      </w:r>
      <w:r>
        <w:t xml:space="preserve"> Productivity Commission, 2015, </w:t>
      </w:r>
      <w:r w:rsidRPr="0066443E">
        <w:rPr>
          <w:i/>
        </w:rPr>
        <w:t>Housing Decisions of Older Australians</w:t>
      </w:r>
      <w:r>
        <w:t>, Productivity Commission Research Paper, December 2015, Australian Government, p. 20</w:t>
      </w:r>
    </w:p>
  </w:footnote>
  <w:footnote w:id="45">
    <w:p w14:paraId="583740B2" w14:textId="7A859452" w:rsidR="00E960F3" w:rsidRDefault="00E960F3" w:rsidP="000D18B4">
      <w:pPr>
        <w:spacing w:after="0" w:line="240" w:lineRule="auto"/>
      </w:pPr>
      <w:r>
        <w:rPr>
          <w:rStyle w:val="FootnoteReference"/>
        </w:rPr>
        <w:footnoteRef/>
      </w:r>
      <w:r>
        <w:t xml:space="preserve"> </w:t>
      </w:r>
      <w:r w:rsidRPr="000B7277">
        <w:rPr>
          <w:rFonts w:cs="Arial"/>
          <w:sz w:val="20"/>
          <w:szCs w:val="20"/>
        </w:rPr>
        <w:t>The Senate Economics References Committee,</w:t>
      </w:r>
      <w:r>
        <w:rPr>
          <w:rFonts w:cs="Arial"/>
          <w:sz w:val="20"/>
          <w:szCs w:val="20"/>
        </w:rPr>
        <w:t xml:space="preserve"> 2015,</w:t>
      </w:r>
      <w:r w:rsidRPr="000B7277">
        <w:rPr>
          <w:rFonts w:cs="Arial"/>
          <w:sz w:val="20"/>
          <w:szCs w:val="20"/>
        </w:rPr>
        <w:t xml:space="preserve"> </w:t>
      </w:r>
      <w:r w:rsidRPr="000B7277">
        <w:rPr>
          <w:rFonts w:cs="Arial"/>
          <w:i/>
          <w:sz w:val="20"/>
          <w:szCs w:val="20"/>
        </w:rPr>
        <w:t xml:space="preserve">Out of reach? The Australian Housing Affordability Challenge </w:t>
      </w:r>
      <w:r w:rsidRPr="000B7277">
        <w:rPr>
          <w:rFonts w:cs="Arial"/>
          <w:sz w:val="20"/>
          <w:szCs w:val="20"/>
        </w:rPr>
        <w:t>Commonwealth of Australia, May 2015</w:t>
      </w:r>
      <w:r>
        <w:rPr>
          <w:rFonts w:cs="Arial"/>
          <w:sz w:val="20"/>
          <w:szCs w:val="20"/>
        </w:rPr>
        <w:t>, p. 193.</w:t>
      </w:r>
    </w:p>
  </w:footnote>
  <w:footnote w:id="46">
    <w:p w14:paraId="274E2E84" w14:textId="2554C1F8" w:rsidR="00E960F3" w:rsidRDefault="00E960F3" w:rsidP="000D18B4">
      <w:pPr>
        <w:pStyle w:val="FootnoteText"/>
      </w:pPr>
      <w:r>
        <w:rPr>
          <w:rStyle w:val="FootnoteReference"/>
        </w:rPr>
        <w:footnoteRef/>
      </w:r>
      <w:r>
        <w:t xml:space="preserve"> </w:t>
      </w:r>
      <w:r w:rsidRPr="00324856">
        <w:t xml:space="preserve">Dr Jeff Harmer, </w:t>
      </w:r>
      <w:r w:rsidRPr="00324856">
        <w:rPr>
          <w:i/>
          <w:iCs/>
        </w:rPr>
        <w:t>Pension Review Report</w:t>
      </w:r>
      <w:r w:rsidRPr="00324856">
        <w:t xml:space="preserve">, Department of Families, Housing, Community Services and Indigenous Affairs, 27 February 2009, p. 52 </w:t>
      </w:r>
      <w:r>
        <w:t xml:space="preserve">and </w:t>
      </w:r>
      <w:r w:rsidRPr="00324856">
        <w:rPr>
          <w:i/>
        </w:rPr>
        <w:t>A new System for Better Employment and Social Outcomes, Interim Report of the Reference</w:t>
      </w:r>
      <w:r>
        <w:rPr>
          <w:i/>
        </w:rPr>
        <w:t xml:space="preserve"> </w:t>
      </w:r>
      <w:r w:rsidRPr="00324856">
        <w:rPr>
          <w:i/>
        </w:rPr>
        <w:t>Group on Welfare Reform to the Minister for Social Services, Full Report</w:t>
      </w:r>
      <w:r>
        <w:t>, June 2014, p. 68</w:t>
      </w:r>
    </w:p>
  </w:footnote>
  <w:footnote w:id="47">
    <w:p w14:paraId="7D5B4103" w14:textId="01152A38" w:rsidR="00E960F3" w:rsidRDefault="00E960F3" w:rsidP="000D18B4">
      <w:pPr>
        <w:pStyle w:val="FootnoteText"/>
      </w:pPr>
      <w:r>
        <w:rPr>
          <w:rStyle w:val="FootnoteReference"/>
        </w:rPr>
        <w:footnoteRef/>
      </w:r>
      <w:r>
        <w:t xml:space="preserve"> Queensland Council of Social Services, 2016, </w:t>
      </w:r>
      <w:r w:rsidRPr="00AD7F09">
        <w:rPr>
          <w:i/>
        </w:rPr>
        <w:t xml:space="preserve">Cost of Living Report – Special Edition: The cost of living and age pensioner households, </w:t>
      </w:r>
      <w:r w:rsidRPr="0066443E">
        <w:t>Issue 4</w:t>
      </w:r>
    </w:p>
  </w:footnote>
  <w:footnote w:id="48">
    <w:p w14:paraId="30D9FFBC" w14:textId="0CF0F8DA" w:rsidR="00E960F3" w:rsidRDefault="00E960F3" w:rsidP="000D18B4">
      <w:pPr>
        <w:pStyle w:val="FootnoteText"/>
      </w:pPr>
      <w:r>
        <w:rPr>
          <w:rStyle w:val="FootnoteReference"/>
        </w:rPr>
        <w:footnoteRef/>
      </w:r>
      <w:r>
        <w:t xml:space="preserve"> </w:t>
      </w:r>
      <w:r w:rsidRPr="002F00A1">
        <w:t>Peterson, Parsell, Phillips and White</w:t>
      </w:r>
      <w:r>
        <w:t xml:space="preserve">, 2014, </w:t>
      </w:r>
      <w:r w:rsidRPr="002B60A0">
        <w:rPr>
          <w:i/>
        </w:rPr>
        <w:t>Preventing first time homelessness amongst older Australians</w:t>
      </w:r>
      <w:r w:rsidRPr="002F00A1">
        <w:t>, University of Q</w:t>
      </w:r>
      <w:r>
        <w:t>ueensland</w:t>
      </w:r>
      <w:r w:rsidRPr="002F00A1">
        <w:t xml:space="preserve">, AHURI </w:t>
      </w:r>
    </w:p>
  </w:footnote>
  <w:footnote w:id="49">
    <w:p w14:paraId="36349BA6" w14:textId="0DFD1FA3" w:rsidR="00E960F3" w:rsidRDefault="00E960F3" w:rsidP="000D18B4">
      <w:pPr>
        <w:pStyle w:val="FootnoteText"/>
      </w:pPr>
      <w:r>
        <w:rPr>
          <w:rStyle w:val="FootnoteReference"/>
        </w:rPr>
        <w:footnoteRef/>
      </w:r>
      <w:r>
        <w:t xml:space="preserve"> Peterson M and Jones A, 2013, </w:t>
      </w:r>
      <w:r w:rsidRPr="003246FD">
        <w:rPr>
          <w:i/>
        </w:rPr>
        <w:t>Addressing Later Life Homelessness</w:t>
      </w:r>
      <w:r>
        <w:t>, University of Queensland</w:t>
      </w:r>
    </w:p>
  </w:footnote>
  <w:footnote w:id="50">
    <w:p w14:paraId="1CA6BC0A" w14:textId="77777777" w:rsidR="00E960F3" w:rsidRDefault="00E960F3" w:rsidP="000D18B4">
      <w:pPr>
        <w:pStyle w:val="FootnoteText"/>
      </w:pPr>
      <w:r>
        <w:rPr>
          <w:rStyle w:val="FootnoteReference"/>
        </w:rPr>
        <w:footnoteRef/>
      </w:r>
      <w:r>
        <w:t xml:space="preserve"> </w:t>
      </w:r>
      <w:r w:rsidRPr="004814A4">
        <w:rPr>
          <w:rFonts w:eastAsia="Times New Roman" w:cs="Times New Roman"/>
        </w:rPr>
        <w:t>Tennant</w:t>
      </w:r>
      <w:r>
        <w:rPr>
          <w:rFonts w:eastAsia="Times New Roman" w:cs="Times New Roman"/>
        </w:rPr>
        <w:t xml:space="preserve"> M</w:t>
      </w:r>
      <w:r w:rsidRPr="004814A4">
        <w:rPr>
          <w:rFonts w:eastAsia="Times New Roman" w:cs="Times New Roman"/>
        </w:rPr>
        <w:t xml:space="preserve"> and Carr</w:t>
      </w:r>
      <w:r>
        <w:rPr>
          <w:rFonts w:eastAsia="Times New Roman" w:cs="Times New Roman"/>
        </w:rPr>
        <w:t xml:space="preserve"> P</w:t>
      </w:r>
      <w:r w:rsidRPr="004814A4">
        <w:rPr>
          <w:rFonts w:eastAsia="Times New Roman" w:cs="Times New Roman"/>
        </w:rPr>
        <w:t>, 2012</w:t>
      </w:r>
      <w:r>
        <w:rPr>
          <w:rFonts w:eastAsia="Times New Roman" w:cs="Times New Roman"/>
        </w:rPr>
        <w:t xml:space="preserve">, </w:t>
      </w:r>
      <w:r w:rsidRPr="00813E3F">
        <w:rPr>
          <w:rFonts w:eastAsia="Times New Roman" w:cs="Times New Roman"/>
          <w:i/>
        </w:rPr>
        <w:t>Avoidable Evictions: Our Next Move</w:t>
      </w:r>
      <w:r>
        <w:rPr>
          <w:rFonts w:eastAsia="Times New Roman" w:cs="Times New Roman"/>
        </w:rPr>
        <w:t xml:space="preserve">, Tenants Union of Queensland Inc </w:t>
      </w:r>
    </w:p>
  </w:footnote>
  <w:footnote w:id="51">
    <w:p w14:paraId="1F2EC42F" w14:textId="77777777" w:rsidR="00E960F3" w:rsidRDefault="00E960F3" w:rsidP="000B3FB6">
      <w:pPr>
        <w:pStyle w:val="FootnoteText"/>
      </w:pPr>
      <w:r>
        <w:rPr>
          <w:rStyle w:val="FootnoteReference"/>
        </w:rPr>
        <w:footnoteRef/>
      </w:r>
      <w:r>
        <w:t xml:space="preserve"> Right-sizing refers to transitioning to appropriately sized or optimal housing.</w:t>
      </w:r>
    </w:p>
  </w:footnote>
  <w:footnote w:id="52">
    <w:p w14:paraId="43887CC9" w14:textId="77777777" w:rsidR="00E960F3" w:rsidRDefault="00E960F3">
      <w:pPr>
        <w:pStyle w:val="FootnoteText"/>
      </w:pPr>
      <w:r>
        <w:rPr>
          <w:rStyle w:val="FootnoteReference"/>
        </w:rPr>
        <w:footnoteRef/>
      </w:r>
      <w:r>
        <w:t xml:space="preserve"> AIHW, </w:t>
      </w:r>
      <w:r w:rsidRPr="0085565D">
        <w:rPr>
          <w:i/>
        </w:rPr>
        <w:t>Life expectancy</w:t>
      </w:r>
      <w:r>
        <w:t xml:space="preserve">, </w:t>
      </w:r>
      <w:hyperlink r:id="rId2" w:anchor="indigenous" w:history="1">
        <w:r>
          <w:rPr>
            <w:rStyle w:val="Hyperlink"/>
          </w:rPr>
          <w:t>http://www.aihw.gov.au/deaths/life-expectancy/#indigenous</w:t>
        </w:r>
      </w:hyperlink>
    </w:p>
  </w:footnote>
  <w:footnote w:id="53">
    <w:p w14:paraId="66280ADA" w14:textId="77777777" w:rsidR="00E960F3" w:rsidRDefault="00E960F3" w:rsidP="000D18B4">
      <w:pPr>
        <w:pStyle w:val="FootnoteText"/>
      </w:pPr>
      <w:r>
        <w:rPr>
          <w:rStyle w:val="FootnoteReference"/>
        </w:rPr>
        <w:footnoteRef/>
      </w:r>
      <w:r>
        <w:t xml:space="preserve"> </w:t>
      </w:r>
      <w:r w:rsidRPr="0085565D">
        <w:t>AIHW, 2011,</w:t>
      </w:r>
      <w:r>
        <w:rPr>
          <w:i/>
        </w:rPr>
        <w:t xml:space="preserve">  </w:t>
      </w:r>
      <w:r w:rsidRPr="0098459B">
        <w:rPr>
          <w:i/>
        </w:rPr>
        <w:t>A profile of homelessness for Aboriginal and Torres Strait Islander people</w:t>
      </w:r>
    </w:p>
  </w:footnote>
  <w:footnote w:id="54">
    <w:p w14:paraId="29353340" w14:textId="77777777" w:rsidR="00E960F3" w:rsidRDefault="00E960F3" w:rsidP="000D18B4">
      <w:pPr>
        <w:pStyle w:val="FootnoteText"/>
      </w:pPr>
      <w:r>
        <w:rPr>
          <w:rStyle w:val="FootnoteReference"/>
        </w:rPr>
        <w:footnoteRef/>
      </w:r>
      <w:r>
        <w:rPr>
          <w:rFonts w:cs="Arial"/>
        </w:rPr>
        <w:t xml:space="preserve"> </w:t>
      </w:r>
      <w:r w:rsidRPr="0085565D">
        <w:rPr>
          <w:rFonts w:cs="Arial"/>
        </w:rPr>
        <w:t>AIHW, 2014,</w:t>
      </w:r>
      <w:r>
        <w:rPr>
          <w:rFonts w:cs="Arial"/>
          <w:i/>
        </w:rPr>
        <w:t xml:space="preserve"> </w:t>
      </w:r>
      <w:r w:rsidRPr="0098459B">
        <w:rPr>
          <w:rFonts w:cs="Arial"/>
          <w:i/>
        </w:rPr>
        <w:t>Housing circumstances of Indigenous households: tenure and overcrowding</w:t>
      </w:r>
      <w:r>
        <w:t xml:space="preserve"> </w:t>
      </w:r>
    </w:p>
  </w:footnote>
  <w:footnote w:id="55">
    <w:p w14:paraId="78FBE0DC" w14:textId="20BD6DAD" w:rsidR="00E960F3" w:rsidRDefault="00E960F3" w:rsidP="000D18B4">
      <w:pPr>
        <w:pStyle w:val="FootnoteText"/>
      </w:pPr>
      <w:r>
        <w:rPr>
          <w:rStyle w:val="FootnoteReference"/>
        </w:rPr>
        <w:footnoteRef/>
      </w:r>
      <w:r>
        <w:t xml:space="preserve"> Council on Federal Financial Relations, 2016, Affordable Housing Working Group: Issues Paper, January 2016 p. 2</w:t>
      </w:r>
    </w:p>
  </w:footnote>
  <w:footnote w:id="56">
    <w:p w14:paraId="71EE441E" w14:textId="77777777" w:rsidR="00E960F3" w:rsidRDefault="00E960F3" w:rsidP="000D18B4">
      <w:pPr>
        <w:pStyle w:val="FootnoteText"/>
      </w:pPr>
      <w:r>
        <w:rPr>
          <w:rStyle w:val="FootnoteReference"/>
        </w:rPr>
        <w:footnoteRef/>
      </w:r>
      <w:r>
        <w:t xml:space="preserve"> At the International Federation on Ageing conference, Brisbane, 23 June 2016</w:t>
      </w:r>
    </w:p>
  </w:footnote>
  <w:footnote w:id="57">
    <w:p w14:paraId="5CB817D3" w14:textId="6121609A" w:rsidR="00E960F3" w:rsidRPr="0003253F" w:rsidRDefault="00E960F3" w:rsidP="000D18B4">
      <w:pPr>
        <w:pStyle w:val="FootnoteText"/>
        <w:rPr>
          <w:i/>
        </w:rPr>
      </w:pPr>
      <w:r w:rsidRPr="00EF4A3F">
        <w:rPr>
          <w:rStyle w:val="FootnoteReference"/>
        </w:rPr>
        <w:footnoteRef/>
      </w:r>
      <w:r w:rsidRPr="0003253F">
        <w:t xml:space="preserve"> Peterson</w:t>
      </w:r>
      <w:r>
        <w:t xml:space="preserve"> M</w:t>
      </w:r>
      <w:r w:rsidRPr="0003253F">
        <w:t xml:space="preserve"> and Jones</w:t>
      </w:r>
      <w:r>
        <w:t xml:space="preserve"> A, </w:t>
      </w:r>
      <w:r w:rsidRPr="0003253F">
        <w:t xml:space="preserve">2013, </w:t>
      </w:r>
      <w:r w:rsidRPr="0003253F">
        <w:rPr>
          <w:i/>
        </w:rPr>
        <w:t xml:space="preserve">Addressing Later Life Homelessness, </w:t>
      </w:r>
      <w:r w:rsidRPr="00520D17">
        <w:t>University of Q</w:t>
      </w:r>
      <w:r>
        <w:t>ueensland</w:t>
      </w:r>
    </w:p>
  </w:footnote>
  <w:footnote w:id="58">
    <w:p w14:paraId="76792DF4" w14:textId="77777777" w:rsidR="00E960F3" w:rsidRDefault="00E960F3" w:rsidP="000D18B4">
      <w:pPr>
        <w:pStyle w:val="FootnoteText"/>
      </w:pPr>
      <w:r>
        <w:rPr>
          <w:rStyle w:val="FootnoteReference"/>
        </w:rPr>
        <w:footnoteRef/>
      </w:r>
      <w:r>
        <w:t xml:space="preserve"> At the International Federation on Ageing conference, Brisbane, 23 June 2016</w:t>
      </w:r>
    </w:p>
  </w:footnote>
  <w:footnote w:id="59">
    <w:p w14:paraId="21E4EB32" w14:textId="77777777" w:rsidR="00E960F3" w:rsidRPr="00E2759B" w:rsidRDefault="00E960F3" w:rsidP="000D18B4">
      <w:pPr>
        <w:pStyle w:val="FootnoteText"/>
      </w:pPr>
      <w:r>
        <w:rPr>
          <w:rStyle w:val="FootnoteReference"/>
        </w:rPr>
        <w:footnoteRef/>
      </w:r>
      <w:r>
        <w:t xml:space="preserve"> </w:t>
      </w:r>
      <w:r w:rsidRPr="00911F41">
        <w:t>http://www.babayagaplace.ca/about/info-sheet</w:t>
      </w:r>
    </w:p>
  </w:footnote>
  <w:footnote w:id="60">
    <w:p w14:paraId="6452F15E" w14:textId="6CC59F15" w:rsidR="00E960F3" w:rsidRDefault="00E960F3" w:rsidP="000D18B4">
      <w:pPr>
        <w:pStyle w:val="FootnoteText"/>
      </w:pPr>
      <w:r>
        <w:rPr>
          <w:rStyle w:val="FootnoteReference"/>
        </w:rPr>
        <w:footnoteRef/>
      </w:r>
      <w:r>
        <w:t xml:space="preserve"> </w:t>
      </w:r>
      <w:r>
        <w:rPr>
          <w:rFonts w:eastAsia="Times New Roman"/>
        </w:rPr>
        <w:t xml:space="preserve">Tourism Research Australia, 2008, </w:t>
      </w:r>
      <w:r w:rsidRPr="00520D17">
        <w:rPr>
          <w:rFonts w:eastAsia="Times New Roman"/>
          <w:i/>
        </w:rPr>
        <w:t>Caravan and Ca</w:t>
      </w:r>
      <w:r>
        <w:rPr>
          <w:rFonts w:eastAsia="Times New Roman"/>
          <w:i/>
        </w:rPr>
        <w:t>mping in Australia Snapshot</w:t>
      </w:r>
    </w:p>
  </w:footnote>
  <w:footnote w:id="61">
    <w:p w14:paraId="5D029A5C" w14:textId="77777777" w:rsidR="00E960F3" w:rsidRDefault="00E960F3" w:rsidP="000D18B4">
      <w:pPr>
        <w:pStyle w:val="FootnoteText"/>
      </w:pPr>
      <w:r>
        <w:rPr>
          <w:rStyle w:val="FootnoteReference"/>
        </w:rPr>
        <w:footnoteRef/>
      </w:r>
      <w:r>
        <w:t xml:space="preserve"> This figure is likely to be higher now.</w:t>
      </w:r>
    </w:p>
  </w:footnote>
  <w:footnote w:id="62">
    <w:p w14:paraId="47E894E3" w14:textId="77777777" w:rsidR="00E960F3" w:rsidRPr="00E2759B" w:rsidRDefault="00E960F3" w:rsidP="000D18B4">
      <w:pPr>
        <w:pStyle w:val="FootnoteText"/>
      </w:pPr>
      <w:r>
        <w:rPr>
          <w:rStyle w:val="FootnoteReference"/>
        </w:rPr>
        <w:footnoteRef/>
      </w:r>
      <w:r>
        <w:t xml:space="preserve"> </w:t>
      </w:r>
      <w:hyperlink r:id="rId3" w:history="1">
        <w:r w:rsidRPr="0005526D">
          <w:rPr>
            <w:rStyle w:val="Hyperlink"/>
            <w:color w:val="auto"/>
          </w:rPr>
          <w:t>http://rvhomebase.com.au/</w:t>
        </w:r>
      </w:hyperlink>
    </w:p>
  </w:footnote>
  <w:footnote w:id="63">
    <w:p w14:paraId="40A49DA9" w14:textId="77777777" w:rsidR="00E960F3" w:rsidRDefault="00E960F3" w:rsidP="000D18B4">
      <w:pPr>
        <w:pStyle w:val="FootnoteText"/>
      </w:pPr>
      <w:r>
        <w:rPr>
          <w:rStyle w:val="FootnoteReference"/>
        </w:rPr>
        <w:footnoteRef/>
      </w:r>
      <w:r>
        <w:t xml:space="preserve"> Discussion with a representative of Fraser Coast Regional Council</w:t>
      </w:r>
    </w:p>
  </w:footnote>
  <w:footnote w:id="64">
    <w:p w14:paraId="06412408" w14:textId="7474CB4E" w:rsidR="00E960F3" w:rsidRDefault="00E960F3" w:rsidP="000D18B4">
      <w:pPr>
        <w:pStyle w:val="FootnoteText"/>
      </w:pPr>
      <w:r>
        <w:rPr>
          <w:rStyle w:val="FootnoteReference"/>
        </w:rPr>
        <w:footnoteRef/>
      </w:r>
      <w:r>
        <w:t xml:space="preserve"> Seniors Legal and Support Service, Caxton Legal Centre</w:t>
      </w:r>
    </w:p>
  </w:footnote>
  <w:footnote w:id="65">
    <w:p w14:paraId="0C0FECE6" w14:textId="77777777" w:rsidR="00E960F3" w:rsidRDefault="00E960F3" w:rsidP="000D18B4">
      <w:pPr>
        <w:pStyle w:val="FootnoteText"/>
      </w:pPr>
      <w:r>
        <w:rPr>
          <w:rStyle w:val="FootnoteReference"/>
        </w:rPr>
        <w:footnoteRef/>
      </w:r>
      <w:r>
        <w:t xml:space="preserve"> </w:t>
      </w:r>
      <w:r w:rsidRPr="00F50DD4">
        <w:t xml:space="preserve">Hal Kendig, quoted in </w:t>
      </w:r>
      <w:r w:rsidRPr="00F50DD4">
        <w:rPr>
          <w:i/>
        </w:rPr>
        <w:t>Population Ageing: How to Turnaround Attitudes to Older Australians</w:t>
      </w:r>
      <w:r w:rsidRPr="00F50DD4">
        <w:t xml:space="preserve">, </w:t>
      </w:r>
      <w:hyperlink r:id="rId4" w:history="1">
        <w:r w:rsidRPr="0005526D">
          <w:rPr>
            <w:rStyle w:val="Hyperlink"/>
            <w:color w:val="auto"/>
          </w:rPr>
          <w:t>www.businessthink.unsw.ed.au</w:t>
        </w:r>
      </w:hyperlink>
      <w:r w:rsidRPr="00F50DD4">
        <w:t xml:space="preserve">, March </w:t>
      </w:r>
      <w:r>
        <w:t>2012</w:t>
      </w:r>
    </w:p>
  </w:footnote>
  <w:footnote w:id="66">
    <w:p w14:paraId="59FFEA8D" w14:textId="4E6BC155" w:rsidR="00E960F3" w:rsidRDefault="00E960F3" w:rsidP="000D18B4">
      <w:pPr>
        <w:pStyle w:val="FootnoteText"/>
      </w:pPr>
      <w:r>
        <w:rPr>
          <w:rStyle w:val="FootnoteReference"/>
        </w:rPr>
        <w:footnoteRef/>
      </w:r>
      <w:r>
        <w:t xml:space="preserve"> Australian Bureau of Statistics, 2013, </w:t>
      </w:r>
      <w:r w:rsidRPr="0098459B">
        <w:rPr>
          <w:i/>
        </w:rPr>
        <w:t>Where and how do Australia’s older people live?</w:t>
      </w:r>
      <w:r w:rsidRPr="0098459B">
        <w:t xml:space="preserve"> </w:t>
      </w:r>
      <w:r w:rsidRPr="0098459B">
        <w:rPr>
          <w:i/>
        </w:rPr>
        <w:t>Reflecting a Nation: Stories</w:t>
      </w:r>
      <w:r>
        <w:rPr>
          <w:i/>
        </w:rPr>
        <w:t xml:space="preserve"> from the 2011 Census</w:t>
      </w:r>
    </w:p>
  </w:footnote>
  <w:footnote w:id="67">
    <w:p w14:paraId="49D60980" w14:textId="4404380D" w:rsidR="00E960F3" w:rsidRDefault="00E960F3" w:rsidP="000D18B4">
      <w:pPr>
        <w:pStyle w:val="FootnoteText"/>
      </w:pPr>
      <w:r>
        <w:rPr>
          <w:rStyle w:val="FootnoteReference"/>
        </w:rPr>
        <w:footnoteRef/>
      </w:r>
      <w:r>
        <w:t xml:space="preserve"> </w:t>
      </w:r>
      <w:r w:rsidRPr="0098459B">
        <w:t>Australian Council of Social Services, 2013</w:t>
      </w:r>
      <w:r>
        <w:t xml:space="preserve">, </w:t>
      </w:r>
      <w:r w:rsidRPr="0098459B">
        <w:rPr>
          <w:i/>
        </w:rPr>
        <w:t>A snapshot of poverty in rural and regional Australia</w:t>
      </w:r>
    </w:p>
  </w:footnote>
  <w:footnote w:id="68">
    <w:p w14:paraId="18C4B365" w14:textId="467E64E0" w:rsidR="00E960F3" w:rsidRDefault="00E960F3" w:rsidP="00BB75B0">
      <w:pPr>
        <w:pStyle w:val="FootnoteText"/>
      </w:pPr>
      <w:r>
        <w:rPr>
          <w:rStyle w:val="FootnoteReference"/>
        </w:rPr>
        <w:footnoteRef/>
      </w:r>
      <w:r>
        <w:t xml:space="preserve"> The Productivity Commission refers to the equity of an older person’s home as a ‘store of wealth’.</w:t>
      </w:r>
    </w:p>
  </w:footnote>
  <w:footnote w:id="69">
    <w:p w14:paraId="33374B04" w14:textId="28095154" w:rsidR="00E960F3" w:rsidRDefault="00E960F3" w:rsidP="000D18B4">
      <w:pPr>
        <w:pStyle w:val="FootnoteText"/>
      </w:pPr>
      <w:r>
        <w:rPr>
          <w:rStyle w:val="FootnoteReference"/>
        </w:rPr>
        <w:footnoteRef/>
      </w:r>
      <w:r>
        <w:t xml:space="preserve"> Productivity Commission, 2015, </w:t>
      </w:r>
      <w:r w:rsidRPr="00C928A1">
        <w:rPr>
          <w:i/>
        </w:rPr>
        <w:t>Housing decisions of older Australians</w:t>
      </w:r>
      <w:r>
        <w:rPr>
          <w:i/>
        </w:rPr>
        <w:t>,</w:t>
      </w:r>
      <w:r>
        <w:t xml:space="preserve"> Productivity Commission Research Paper, December 2015, Australian Government, p. 52</w:t>
      </w:r>
    </w:p>
  </w:footnote>
  <w:footnote w:id="70">
    <w:p w14:paraId="6B45B849" w14:textId="59B4ED49" w:rsidR="00E960F3" w:rsidRDefault="00E960F3" w:rsidP="000D18B4">
      <w:pPr>
        <w:pStyle w:val="FootnoteText"/>
      </w:pPr>
      <w:r>
        <w:rPr>
          <w:rStyle w:val="FootnoteReference"/>
        </w:rPr>
        <w:footnoteRef/>
      </w:r>
      <w:r>
        <w:t xml:space="preserve"> </w:t>
      </w:r>
      <w:r>
        <w:rPr>
          <w:rFonts w:eastAsia="Times New Roman" w:cs="Times New Roman"/>
        </w:rPr>
        <w:t xml:space="preserve">Department of Social Services, </w:t>
      </w:r>
      <w:r w:rsidRPr="00603C31">
        <w:rPr>
          <w:rFonts w:eastAsia="Times New Roman" w:cs="Times New Roman"/>
        </w:rPr>
        <w:t>Stocktake of Australian Government Subsidised Aged Care Places and Ratios as at 30 June 2015</w:t>
      </w:r>
      <w:r>
        <w:rPr>
          <w:rFonts w:eastAsia="Times New Roman" w:cs="Times New Roman"/>
        </w:rPr>
        <w:t>, Australian Government</w:t>
      </w:r>
    </w:p>
  </w:footnote>
  <w:footnote w:id="71">
    <w:p w14:paraId="6CBBAE92" w14:textId="33ABDB22" w:rsidR="00E960F3" w:rsidRDefault="00E960F3" w:rsidP="000D18B4">
      <w:pPr>
        <w:pStyle w:val="FootnoteText"/>
      </w:pPr>
      <w:r>
        <w:rPr>
          <w:rStyle w:val="FootnoteReference"/>
        </w:rPr>
        <w:footnoteRef/>
      </w:r>
      <w:r>
        <w:t xml:space="preserve"> Productivity Commission, 2016, </w:t>
      </w:r>
      <w:r w:rsidRPr="00520D17">
        <w:rPr>
          <w:i/>
        </w:rPr>
        <w:t>Report on Government Services</w:t>
      </w:r>
      <w:r>
        <w:t xml:space="preserve">,  </w:t>
      </w:r>
      <w:r>
        <w:rPr>
          <w:rFonts w:eastAsia="Times New Roman" w:cs="Times New Roman"/>
        </w:rPr>
        <w:t>Table 13A.19</w:t>
      </w:r>
    </w:p>
  </w:footnote>
  <w:footnote w:id="72">
    <w:p w14:paraId="77250029" w14:textId="77777777" w:rsidR="00E960F3" w:rsidRDefault="00E960F3" w:rsidP="000D18B4">
      <w:pPr>
        <w:pStyle w:val="FootnoteText"/>
      </w:pPr>
      <w:r>
        <w:rPr>
          <w:rStyle w:val="FootnoteReference"/>
        </w:rPr>
        <w:footnoteRef/>
      </w:r>
      <w:r>
        <w:t xml:space="preserve"> In </w:t>
      </w:r>
      <w:r>
        <w:rPr>
          <w:rFonts w:eastAsia="Times New Roman" w:cs="Times New Roman"/>
        </w:rPr>
        <w:t xml:space="preserve">2009- 10 this figure was 47 days and in 2014- 15 it had increased to 78 days and is 68 days nationally </w:t>
      </w:r>
    </w:p>
  </w:footnote>
  <w:footnote w:id="73">
    <w:p w14:paraId="61841F1A" w14:textId="40ED9F52" w:rsidR="00E960F3" w:rsidRDefault="00E960F3" w:rsidP="000D18B4">
      <w:pPr>
        <w:pStyle w:val="FootnoteText"/>
      </w:pPr>
      <w:r>
        <w:rPr>
          <w:rStyle w:val="FootnoteReference"/>
        </w:rPr>
        <w:footnoteRef/>
      </w:r>
      <w:r>
        <w:t xml:space="preserve"> Productivity Commission, 2016, </w:t>
      </w:r>
      <w:r w:rsidRPr="00520D17">
        <w:rPr>
          <w:i/>
        </w:rPr>
        <w:t>Report on Government Services</w:t>
      </w:r>
      <w:r>
        <w:t>,</w:t>
      </w:r>
      <w:r>
        <w:rPr>
          <w:rFonts w:eastAsia="Times New Roman" w:cs="Times New Roman"/>
        </w:rPr>
        <w:t xml:space="preserve"> Table 13A.35</w:t>
      </w:r>
    </w:p>
  </w:footnote>
  <w:footnote w:id="74">
    <w:p w14:paraId="24AA0C2D" w14:textId="2D9DE539" w:rsidR="00E960F3" w:rsidRDefault="00E960F3" w:rsidP="000D18B4">
      <w:pPr>
        <w:pStyle w:val="FootnoteText"/>
      </w:pPr>
      <w:r>
        <w:rPr>
          <w:rStyle w:val="FootnoteReference"/>
        </w:rPr>
        <w:footnoteRef/>
      </w:r>
      <w:r>
        <w:t xml:space="preserve"> </w:t>
      </w:r>
      <w:r w:rsidRPr="00153B3A">
        <w:rPr>
          <w:rFonts w:eastAsia="Times New Roman" w:cs="Times New Roman"/>
        </w:rPr>
        <w:t>Aged Care Sector Committee,</w:t>
      </w:r>
      <w:r>
        <w:rPr>
          <w:rFonts w:eastAsia="Times New Roman" w:cs="Times New Roman"/>
        </w:rPr>
        <w:t xml:space="preserve"> 2016,</w:t>
      </w:r>
      <w:r w:rsidRPr="00153B3A">
        <w:rPr>
          <w:rFonts w:ascii="Calibri" w:hAnsi="Calibri"/>
          <w:sz w:val="22"/>
          <w:szCs w:val="22"/>
          <w:lang w:val="en-GB"/>
        </w:rPr>
        <w:t xml:space="preserve"> </w:t>
      </w:r>
      <w:r w:rsidRPr="00153B3A">
        <w:rPr>
          <w:rFonts w:ascii="Calibri" w:hAnsi="Calibri"/>
          <w:i/>
          <w:sz w:val="22"/>
          <w:szCs w:val="22"/>
          <w:lang w:val="en-GB"/>
        </w:rPr>
        <w:t>Aged Care Roadmap</w:t>
      </w:r>
      <w:r w:rsidRPr="00153B3A">
        <w:rPr>
          <w:rFonts w:ascii="Calibri" w:hAnsi="Calibri"/>
          <w:sz w:val="22"/>
          <w:szCs w:val="22"/>
          <w:lang w:val="en-GB"/>
        </w:rPr>
        <w:t>,</w:t>
      </w:r>
      <w:r w:rsidRPr="00153B3A">
        <w:t xml:space="preserve"> </w:t>
      </w:r>
      <w:hyperlink r:id="rId5" w:history="1">
        <w:r w:rsidRPr="00153B3A">
          <w:rPr>
            <w:rStyle w:val="Hyperlink"/>
            <w:rFonts w:ascii="Calibri" w:hAnsi="Calibri"/>
            <w:sz w:val="22"/>
            <w:szCs w:val="22"/>
            <w:lang w:val="en-GB"/>
          </w:rPr>
          <w:t>agedcare.health.gov.au/aged-care-reform/aged-care-roadmap</w:t>
        </w:r>
      </w:hyperlink>
    </w:p>
  </w:footnote>
  <w:footnote w:id="75">
    <w:p w14:paraId="37E0E26B" w14:textId="51A8E09B" w:rsidR="00E960F3" w:rsidRDefault="00E960F3" w:rsidP="00867EE6">
      <w:pPr>
        <w:pStyle w:val="FootnoteText"/>
      </w:pPr>
      <w:r>
        <w:rPr>
          <w:rStyle w:val="FootnoteReference"/>
        </w:rPr>
        <w:footnoteRef/>
      </w:r>
      <w:r>
        <w:t xml:space="preserve"> Zaretzky K and Flatau P, 2013, </w:t>
      </w:r>
      <w:r w:rsidRPr="002B60A0">
        <w:rPr>
          <w:i/>
        </w:rPr>
        <w:t xml:space="preserve">The cost of homelessness and the net benefit of homelessness programs: a national study, </w:t>
      </w:r>
      <w:r w:rsidRPr="00520D17">
        <w:t>AHURI Final Report No. 218,</w:t>
      </w:r>
      <w:r>
        <w:t xml:space="preserve"> Australian Housing and Urban Research Institute, Melbourne. </w:t>
      </w:r>
    </w:p>
  </w:footnote>
  <w:footnote w:id="76">
    <w:p w14:paraId="2AA1EB1F" w14:textId="0137C8FD" w:rsidR="00E960F3" w:rsidRDefault="00E960F3" w:rsidP="000D18B4">
      <w:pPr>
        <w:pStyle w:val="FootnoteText"/>
      </w:pPr>
      <w:r>
        <w:rPr>
          <w:rStyle w:val="FootnoteReference"/>
        </w:rPr>
        <w:footnoteRef/>
      </w:r>
      <w:r>
        <w:t xml:space="preserve"> Peterson, Parsell, Phillips and White, 2014, </w:t>
      </w:r>
      <w:r w:rsidRPr="00314D40">
        <w:rPr>
          <w:i/>
        </w:rPr>
        <w:t>Preventing first time homelessness amongst older Australians</w:t>
      </w:r>
      <w:r>
        <w:t>, University of Queensland, AHURI</w:t>
      </w:r>
    </w:p>
  </w:footnote>
  <w:footnote w:id="77">
    <w:p w14:paraId="20C5D6C3" w14:textId="77777777" w:rsidR="00E960F3" w:rsidRDefault="00E960F3" w:rsidP="000D18B4">
      <w:pPr>
        <w:pStyle w:val="FootnoteText"/>
      </w:pPr>
      <w:r>
        <w:rPr>
          <w:rStyle w:val="FootnoteReference"/>
        </w:rPr>
        <w:footnoteRef/>
      </w:r>
      <w:r>
        <w:t xml:space="preserve"> </w:t>
      </w:r>
      <w:r w:rsidRPr="00A56ED9">
        <w:t>http://www.wintringham.org.au/who_we_are.html</w:t>
      </w:r>
    </w:p>
  </w:footnote>
  <w:footnote w:id="78">
    <w:p w14:paraId="6BEEE279" w14:textId="3634A88F" w:rsidR="00E960F3" w:rsidRDefault="00E960F3" w:rsidP="00E2759B">
      <w:pPr>
        <w:pStyle w:val="FootnoteText"/>
      </w:pPr>
      <w:r>
        <w:rPr>
          <w:rStyle w:val="FootnoteReference"/>
        </w:rPr>
        <w:footnoteRef/>
      </w:r>
      <w:r>
        <w:t xml:space="preserve"> </w:t>
      </w:r>
      <w:r w:rsidRPr="00606E7B">
        <w:t>Peterson, Parsell, Phillips and White</w:t>
      </w:r>
      <w:r>
        <w:t xml:space="preserve">, </w:t>
      </w:r>
      <w:r w:rsidRPr="00606E7B">
        <w:t>2014</w:t>
      </w:r>
      <w:r>
        <w:t>,</w:t>
      </w:r>
      <w:r w:rsidRPr="00606E7B">
        <w:t xml:space="preserve"> </w:t>
      </w:r>
      <w:r w:rsidRPr="00520D17">
        <w:rPr>
          <w:i/>
        </w:rPr>
        <w:t>Preventing first time homelessness amongst older Australians</w:t>
      </w:r>
      <w:r w:rsidRPr="00606E7B">
        <w:t>, University of Q</w:t>
      </w:r>
      <w:r>
        <w:t>ueensland</w:t>
      </w:r>
      <w:r w:rsidRPr="00606E7B">
        <w:t>, AHURI</w:t>
      </w:r>
      <w:r>
        <w:t>, p. 92</w:t>
      </w:r>
    </w:p>
  </w:footnote>
  <w:footnote w:id="79">
    <w:p w14:paraId="6E1C7FFE" w14:textId="68A763D8" w:rsidR="00E960F3" w:rsidRDefault="00E960F3">
      <w:pPr>
        <w:pStyle w:val="FootnoteText"/>
      </w:pPr>
      <w:r>
        <w:rPr>
          <w:rStyle w:val="FootnoteReference"/>
        </w:rPr>
        <w:footnoteRef/>
      </w:r>
      <w:r>
        <w:t xml:space="preserve"> </w:t>
      </w:r>
      <w:r>
        <w:rPr>
          <w:sz w:val="18"/>
          <w:szCs w:val="18"/>
        </w:rPr>
        <w:t>Through the Department of Infrastructure, Local Government and Planning, the Regional Liveability Strategy (Ageing in Place project), the Queensland Government will, with council support, deliver residential projects that will contribute to liveability and sustainability through demonstration housing projects.  The Pilot scheme will target four towns: Winton, Longreach, Barcaldine and Cloncurry.</w:t>
      </w:r>
    </w:p>
  </w:footnote>
  <w:footnote w:id="80">
    <w:p w14:paraId="60CCA9CA" w14:textId="32AABD84" w:rsidR="00E960F3" w:rsidRDefault="00E960F3" w:rsidP="000D18B4">
      <w:pPr>
        <w:pStyle w:val="FootnoteText"/>
      </w:pPr>
      <w:r>
        <w:rPr>
          <w:rStyle w:val="FootnoteReference"/>
        </w:rPr>
        <w:footnoteRef/>
      </w:r>
      <w:r>
        <w:t xml:space="preserve"> World Health Organisation, 2010, Global Age-Friendly Cities Project, </w:t>
      </w:r>
      <w:hyperlink r:id="rId6" w:history="1">
        <w:r w:rsidRPr="00C451AD">
          <w:rPr>
            <w:rStyle w:val="Hyperlink"/>
          </w:rPr>
          <w:t>www.who.int/ageing/projects/age_friendly_cities/en/</w:t>
        </w:r>
      </w:hyperlink>
    </w:p>
    <w:p w14:paraId="0E4CA65C" w14:textId="77777777" w:rsidR="00E960F3" w:rsidRDefault="00E960F3" w:rsidP="000D18B4">
      <w:pPr>
        <w:pStyle w:val="FootnoteText"/>
      </w:pPr>
    </w:p>
  </w:footnote>
  <w:footnote w:id="81">
    <w:p w14:paraId="269A9801" w14:textId="77777777" w:rsidR="00E960F3" w:rsidRDefault="00E960F3">
      <w:pPr>
        <w:pStyle w:val="FootnoteText"/>
      </w:pPr>
      <w:r>
        <w:rPr>
          <w:rStyle w:val="FootnoteReference"/>
        </w:rPr>
        <w:footnoteRef/>
      </w:r>
      <w:r>
        <w:t xml:space="preserve"> </w:t>
      </w:r>
      <w:r w:rsidRPr="00595537">
        <w:t>Australian Communication and Media Authority</w:t>
      </w:r>
      <w:r>
        <w: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CEF16" w14:textId="7F70DE5B" w:rsidR="00E960F3" w:rsidRDefault="00E960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F490A" w14:textId="280F5626" w:rsidR="00E960F3" w:rsidRDefault="00E960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BADCF" w14:textId="1C8D9A9B" w:rsidR="00E960F3" w:rsidRDefault="00E960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3B1"/>
    <w:multiLevelType w:val="hybridMultilevel"/>
    <w:tmpl w:val="DFD2FF46"/>
    <w:lvl w:ilvl="0" w:tplc="C4EAEC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623047"/>
    <w:multiLevelType w:val="hybridMultilevel"/>
    <w:tmpl w:val="966E98CC"/>
    <w:lvl w:ilvl="0" w:tplc="6F44E3B8">
      <w:start w:val="1"/>
      <w:numFmt w:val="decimal"/>
      <w:pStyle w:val="Recommendation"/>
      <w:lvlText w:val="Recommendation %1   "/>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05189E"/>
    <w:multiLevelType w:val="hybridMultilevel"/>
    <w:tmpl w:val="2DA2E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703A9"/>
    <w:multiLevelType w:val="hybridMultilevel"/>
    <w:tmpl w:val="44221FB0"/>
    <w:lvl w:ilvl="0" w:tplc="C038CE94">
      <w:start w:val="1"/>
      <w:numFmt w:val="bullet"/>
      <w:lvlText w:val=""/>
      <w:lvlJc w:val="left"/>
      <w:pPr>
        <w:ind w:left="720" w:hanging="6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223FB"/>
    <w:multiLevelType w:val="hybridMultilevel"/>
    <w:tmpl w:val="D6EA8832"/>
    <w:lvl w:ilvl="0" w:tplc="810E7886">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DE2408"/>
    <w:multiLevelType w:val="hybridMultilevel"/>
    <w:tmpl w:val="05665BD6"/>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6" w15:restartNumberingAfterBreak="0">
    <w:nsid w:val="0F7B01E7"/>
    <w:multiLevelType w:val="hybridMultilevel"/>
    <w:tmpl w:val="73E474D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3452B9"/>
    <w:multiLevelType w:val="hybridMultilevel"/>
    <w:tmpl w:val="B9F68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F66A9D"/>
    <w:multiLevelType w:val="hybridMultilevel"/>
    <w:tmpl w:val="891EACEC"/>
    <w:lvl w:ilvl="0" w:tplc="2DDC972C">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18251BC"/>
    <w:multiLevelType w:val="hybridMultilevel"/>
    <w:tmpl w:val="AFE45BB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1E1FE5"/>
    <w:multiLevelType w:val="hybridMultilevel"/>
    <w:tmpl w:val="B23400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4C921A8"/>
    <w:multiLevelType w:val="hybridMultilevel"/>
    <w:tmpl w:val="DBE22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270293"/>
    <w:multiLevelType w:val="hybridMultilevel"/>
    <w:tmpl w:val="C746803C"/>
    <w:lvl w:ilvl="0" w:tplc="5FCEC6C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CF7B1A"/>
    <w:multiLevelType w:val="hybridMultilevel"/>
    <w:tmpl w:val="CFD6E3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F11552"/>
    <w:multiLevelType w:val="hybridMultilevel"/>
    <w:tmpl w:val="DE8E9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70039B"/>
    <w:multiLevelType w:val="hybridMultilevel"/>
    <w:tmpl w:val="25B4E3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CA47D5"/>
    <w:multiLevelType w:val="hybridMultilevel"/>
    <w:tmpl w:val="0714E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664773"/>
    <w:multiLevelType w:val="hybridMultilevel"/>
    <w:tmpl w:val="BAD2A55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2CF6074F"/>
    <w:multiLevelType w:val="hybridMultilevel"/>
    <w:tmpl w:val="39AA8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255C02"/>
    <w:multiLevelType w:val="hybridMultilevel"/>
    <w:tmpl w:val="446648DA"/>
    <w:lvl w:ilvl="0" w:tplc="53FEB7AC">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BF6F7F"/>
    <w:multiLevelType w:val="hybridMultilevel"/>
    <w:tmpl w:val="42042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BA09C5"/>
    <w:multiLevelType w:val="hybridMultilevel"/>
    <w:tmpl w:val="E52C894C"/>
    <w:lvl w:ilvl="0" w:tplc="CD0C0584">
      <w:start w:val="1"/>
      <w:numFmt w:val="decimal"/>
      <w:lvlText w:val="%1."/>
      <w:lvlJc w:val="left"/>
      <w:pPr>
        <w:ind w:left="360" w:hanging="360"/>
      </w:pPr>
      <w:rPr>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 w15:restartNumberingAfterBreak="0">
    <w:nsid w:val="35B10304"/>
    <w:multiLevelType w:val="hybridMultilevel"/>
    <w:tmpl w:val="B462B7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87F1153"/>
    <w:multiLevelType w:val="hybridMultilevel"/>
    <w:tmpl w:val="B13E1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C91696"/>
    <w:multiLevelType w:val="hybridMultilevel"/>
    <w:tmpl w:val="3640A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4538C6"/>
    <w:multiLevelType w:val="multilevel"/>
    <w:tmpl w:val="16064C6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3AD246EB"/>
    <w:multiLevelType w:val="hybridMultilevel"/>
    <w:tmpl w:val="EFD69CB4"/>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69607D"/>
    <w:multiLevelType w:val="hybridMultilevel"/>
    <w:tmpl w:val="A8DA6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6B74A7"/>
    <w:multiLevelType w:val="hybridMultilevel"/>
    <w:tmpl w:val="0692507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452734F1"/>
    <w:multiLevelType w:val="hybridMultilevel"/>
    <w:tmpl w:val="8F726B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AD4801"/>
    <w:multiLevelType w:val="hybridMultilevel"/>
    <w:tmpl w:val="42763C80"/>
    <w:lvl w:ilvl="0" w:tplc="5FCEC6C6">
      <w:start w:val="1"/>
      <w:numFmt w:val="bullet"/>
      <w:lvlText w:val=""/>
      <w:lvlJc w:val="left"/>
      <w:pPr>
        <w:tabs>
          <w:tab w:val="num" w:pos="720"/>
        </w:tabs>
        <w:ind w:left="72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861254"/>
    <w:multiLevelType w:val="hybridMultilevel"/>
    <w:tmpl w:val="4BCA1376"/>
    <w:lvl w:ilvl="0" w:tplc="0C09000F">
      <w:start w:val="1"/>
      <w:numFmt w:val="decimal"/>
      <w:lvlText w:val="%1."/>
      <w:lvlJc w:val="left"/>
      <w:pPr>
        <w:ind w:left="746" w:hanging="360"/>
      </w:pPr>
      <w:rPr>
        <w:rFonts w:hint="default"/>
      </w:rPr>
    </w:lvl>
    <w:lvl w:ilvl="1" w:tplc="0C090003">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32" w15:restartNumberingAfterBreak="0">
    <w:nsid w:val="53E138A1"/>
    <w:multiLevelType w:val="hybridMultilevel"/>
    <w:tmpl w:val="A17230A8"/>
    <w:lvl w:ilvl="0" w:tplc="12C68BC2">
      <w:start w:val="8"/>
      <w:numFmt w:val="decimal"/>
      <w:lvlText w:val="%1."/>
      <w:lvlJc w:val="left"/>
      <w:pPr>
        <w:ind w:left="36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3579F6"/>
    <w:multiLevelType w:val="hybridMultilevel"/>
    <w:tmpl w:val="AA4E08BC"/>
    <w:lvl w:ilvl="0" w:tplc="6A18A98A">
      <w:start w:val="4"/>
      <w:numFmt w:val="decimal"/>
      <w:pStyle w:val="TableofFigure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9E60E32"/>
    <w:multiLevelType w:val="hybridMultilevel"/>
    <w:tmpl w:val="80F4B8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AF40ED7"/>
    <w:multiLevelType w:val="hybridMultilevel"/>
    <w:tmpl w:val="DB4A2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FF183C"/>
    <w:multiLevelType w:val="hybridMultilevel"/>
    <w:tmpl w:val="E74023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68542A"/>
    <w:multiLevelType w:val="hybridMultilevel"/>
    <w:tmpl w:val="359E7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8267CA"/>
    <w:multiLevelType w:val="hybridMultilevel"/>
    <w:tmpl w:val="0B062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854F89"/>
    <w:multiLevelType w:val="hybridMultilevel"/>
    <w:tmpl w:val="599C22A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18037BF"/>
    <w:multiLevelType w:val="hybridMultilevel"/>
    <w:tmpl w:val="973A2CF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F25257"/>
    <w:multiLevelType w:val="hybridMultilevel"/>
    <w:tmpl w:val="4934B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365E16"/>
    <w:multiLevelType w:val="hybridMultilevel"/>
    <w:tmpl w:val="57A6D4A0"/>
    <w:lvl w:ilvl="0" w:tplc="9DB49E62">
      <w:start w:val="1"/>
      <w:numFmt w:val="bullet"/>
      <w:lvlText w:val="o"/>
      <w:lvlJc w:val="left"/>
      <w:pPr>
        <w:ind w:left="720"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7655EC5"/>
    <w:multiLevelType w:val="hybridMultilevel"/>
    <w:tmpl w:val="D71C10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85195C"/>
    <w:multiLevelType w:val="hybridMultilevel"/>
    <w:tmpl w:val="35B0286A"/>
    <w:lvl w:ilvl="0" w:tplc="0C090001">
      <w:start w:val="1"/>
      <w:numFmt w:val="bullet"/>
      <w:lvlText w:val=""/>
      <w:lvlJc w:val="left"/>
      <w:pPr>
        <w:ind w:left="1288" w:hanging="360"/>
      </w:pPr>
      <w:rPr>
        <w:rFonts w:ascii="Symbol" w:hAnsi="Symbol" w:hint="default"/>
      </w:rPr>
    </w:lvl>
    <w:lvl w:ilvl="1" w:tplc="0C090003">
      <w:start w:val="1"/>
      <w:numFmt w:val="bullet"/>
      <w:lvlText w:val="o"/>
      <w:lvlJc w:val="left"/>
      <w:pPr>
        <w:ind w:left="2008" w:hanging="360"/>
      </w:pPr>
      <w:rPr>
        <w:rFonts w:ascii="Courier New" w:hAnsi="Courier New" w:cs="Courier New" w:hint="default"/>
      </w:rPr>
    </w:lvl>
    <w:lvl w:ilvl="2" w:tplc="0C090005">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45" w15:restartNumberingAfterBreak="0">
    <w:nsid w:val="683463F8"/>
    <w:multiLevelType w:val="hybridMultilevel"/>
    <w:tmpl w:val="00E0E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8717827"/>
    <w:multiLevelType w:val="hybridMultilevel"/>
    <w:tmpl w:val="7AEA06FA"/>
    <w:lvl w:ilvl="0" w:tplc="13C82228">
      <w:start w:val="1"/>
      <w:numFmt w:val="bullet"/>
      <w:pStyle w:val="List0"/>
      <w:lvlText w:val=""/>
      <w:lvlJc w:val="left"/>
      <w:pPr>
        <w:ind w:left="720" w:hanging="360"/>
      </w:pPr>
      <w:rPr>
        <w:rFonts w:ascii="Symbol" w:hAnsi="Symbol" w:hint="default"/>
      </w:rPr>
    </w:lvl>
    <w:lvl w:ilvl="1" w:tplc="C1A45E6A">
      <w:start w:val="1"/>
      <w:numFmt w:val="bullet"/>
      <w:lvlText w:val="o"/>
      <w:lvlJc w:val="left"/>
      <w:pPr>
        <w:ind w:left="1440" w:hanging="360"/>
      </w:pPr>
      <w:rPr>
        <w:rFonts w:ascii="Courier New" w:hAnsi="Courier New" w:hint="default"/>
      </w:rPr>
    </w:lvl>
    <w:lvl w:ilvl="2" w:tplc="79C024E2">
      <w:start w:val="1"/>
      <w:numFmt w:val="bullet"/>
      <w:lvlText w:val=""/>
      <w:lvlJc w:val="left"/>
      <w:pPr>
        <w:ind w:left="2160" w:hanging="360"/>
      </w:pPr>
      <w:rPr>
        <w:rFonts w:ascii="Wingdings" w:hAnsi="Wingdings" w:hint="default"/>
      </w:rPr>
    </w:lvl>
    <w:lvl w:ilvl="3" w:tplc="3DE60FE2">
      <w:start w:val="1"/>
      <w:numFmt w:val="bullet"/>
      <w:lvlText w:val=""/>
      <w:lvlJc w:val="left"/>
      <w:pPr>
        <w:ind w:left="2880" w:hanging="360"/>
      </w:pPr>
      <w:rPr>
        <w:rFonts w:ascii="Symbol" w:hAnsi="Symbol" w:hint="default"/>
      </w:rPr>
    </w:lvl>
    <w:lvl w:ilvl="4" w:tplc="B61CDDE0">
      <w:start w:val="1"/>
      <w:numFmt w:val="bullet"/>
      <w:lvlText w:val="o"/>
      <w:lvlJc w:val="left"/>
      <w:pPr>
        <w:ind w:left="3600" w:hanging="360"/>
      </w:pPr>
      <w:rPr>
        <w:rFonts w:ascii="Courier New" w:hAnsi="Courier New" w:hint="default"/>
      </w:rPr>
    </w:lvl>
    <w:lvl w:ilvl="5" w:tplc="54DA9E00">
      <w:start w:val="1"/>
      <w:numFmt w:val="bullet"/>
      <w:lvlText w:val=""/>
      <w:lvlJc w:val="left"/>
      <w:pPr>
        <w:ind w:left="4320" w:hanging="360"/>
      </w:pPr>
      <w:rPr>
        <w:rFonts w:ascii="Wingdings" w:hAnsi="Wingdings" w:hint="default"/>
      </w:rPr>
    </w:lvl>
    <w:lvl w:ilvl="6" w:tplc="FFEC8AB4">
      <w:start w:val="1"/>
      <w:numFmt w:val="bullet"/>
      <w:lvlText w:val=""/>
      <w:lvlJc w:val="left"/>
      <w:pPr>
        <w:ind w:left="5040" w:hanging="360"/>
      </w:pPr>
      <w:rPr>
        <w:rFonts w:ascii="Symbol" w:hAnsi="Symbol" w:hint="default"/>
      </w:rPr>
    </w:lvl>
    <w:lvl w:ilvl="7" w:tplc="B5E831DE">
      <w:start w:val="1"/>
      <w:numFmt w:val="bullet"/>
      <w:lvlText w:val="o"/>
      <w:lvlJc w:val="left"/>
      <w:pPr>
        <w:ind w:left="5760" w:hanging="360"/>
      </w:pPr>
      <w:rPr>
        <w:rFonts w:ascii="Courier New" w:hAnsi="Courier New" w:hint="default"/>
      </w:rPr>
    </w:lvl>
    <w:lvl w:ilvl="8" w:tplc="92E61F66">
      <w:start w:val="1"/>
      <w:numFmt w:val="bullet"/>
      <w:lvlText w:val=""/>
      <w:lvlJc w:val="left"/>
      <w:pPr>
        <w:ind w:left="6480" w:hanging="360"/>
      </w:pPr>
      <w:rPr>
        <w:rFonts w:ascii="Wingdings" w:hAnsi="Wingdings" w:hint="default"/>
      </w:rPr>
    </w:lvl>
  </w:abstractNum>
  <w:abstractNum w:abstractNumId="47" w15:restartNumberingAfterBreak="0">
    <w:nsid w:val="6DD67388"/>
    <w:multiLevelType w:val="hybridMultilevel"/>
    <w:tmpl w:val="4824E2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F83CC4"/>
    <w:multiLevelType w:val="hybridMultilevel"/>
    <w:tmpl w:val="703E970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3A256C3"/>
    <w:multiLevelType w:val="hybridMultilevel"/>
    <w:tmpl w:val="71EAA44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7731605F"/>
    <w:multiLevelType w:val="hybridMultilevel"/>
    <w:tmpl w:val="FFB214FE"/>
    <w:lvl w:ilvl="0" w:tplc="AB148A78">
      <w:start w:val="1"/>
      <w:numFmt w:val="bullet"/>
      <w:lvlText w:val="o"/>
      <w:lvlJc w:val="left"/>
      <w:pPr>
        <w:ind w:left="720" w:hanging="360"/>
      </w:pPr>
      <w:rPr>
        <w:rFonts w:ascii="Courier New" w:hAnsi="Courier New" w:cs="Courier New"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5E3349"/>
    <w:multiLevelType w:val="hybridMultilevel"/>
    <w:tmpl w:val="59847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D0170E1"/>
    <w:multiLevelType w:val="hybridMultilevel"/>
    <w:tmpl w:val="4F585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11"/>
  </w:num>
  <w:num w:numId="4">
    <w:abstractNumId w:val="25"/>
  </w:num>
  <w:num w:numId="5">
    <w:abstractNumId w:val="23"/>
  </w:num>
  <w:num w:numId="6">
    <w:abstractNumId w:val="30"/>
  </w:num>
  <w:num w:numId="7">
    <w:abstractNumId w:val="26"/>
  </w:num>
  <w:num w:numId="8">
    <w:abstractNumId w:val="24"/>
  </w:num>
  <w:num w:numId="9">
    <w:abstractNumId w:val="44"/>
  </w:num>
  <w:num w:numId="10">
    <w:abstractNumId w:val="7"/>
  </w:num>
  <w:num w:numId="11">
    <w:abstractNumId w:val="16"/>
  </w:num>
  <w:num w:numId="12">
    <w:abstractNumId w:val="28"/>
  </w:num>
  <w:num w:numId="13">
    <w:abstractNumId w:val="20"/>
  </w:num>
  <w:num w:numId="14">
    <w:abstractNumId w:val="14"/>
  </w:num>
  <w:num w:numId="15">
    <w:abstractNumId w:val="1"/>
  </w:num>
  <w:num w:numId="16">
    <w:abstractNumId w:val="34"/>
  </w:num>
  <w:num w:numId="17">
    <w:abstractNumId w:val="0"/>
  </w:num>
  <w:num w:numId="18">
    <w:abstractNumId w:val="41"/>
  </w:num>
  <w:num w:numId="19">
    <w:abstractNumId w:val="37"/>
  </w:num>
  <w:num w:numId="20">
    <w:abstractNumId w:val="5"/>
  </w:num>
  <w:num w:numId="21">
    <w:abstractNumId w:val="52"/>
  </w:num>
  <w:num w:numId="22">
    <w:abstractNumId w:val="38"/>
  </w:num>
  <w:num w:numId="23">
    <w:abstractNumId w:val="2"/>
  </w:num>
  <w:num w:numId="24">
    <w:abstractNumId w:val="45"/>
  </w:num>
  <w:num w:numId="25">
    <w:abstractNumId w:val="35"/>
  </w:num>
  <w:num w:numId="26">
    <w:abstractNumId w:val="46"/>
  </w:num>
  <w:num w:numId="27">
    <w:abstractNumId w:val="3"/>
  </w:num>
  <w:num w:numId="2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21"/>
  </w:num>
  <w:num w:numId="31">
    <w:abstractNumId w:val="48"/>
  </w:num>
  <w:num w:numId="32">
    <w:abstractNumId w:val="6"/>
  </w:num>
  <w:num w:numId="33">
    <w:abstractNumId w:val="10"/>
  </w:num>
  <w:num w:numId="34">
    <w:abstractNumId w:val="42"/>
  </w:num>
  <w:num w:numId="35">
    <w:abstractNumId w:val="31"/>
    <w:lvlOverride w:ilvl="0">
      <w:startOverride w:val="1"/>
    </w:lvlOverride>
    <w:lvlOverride w:ilvl="1"/>
    <w:lvlOverride w:ilvl="2"/>
    <w:lvlOverride w:ilvl="3"/>
    <w:lvlOverride w:ilvl="4"/>
    <w:lvlOverride w:ilvl="5"/>
    <w:lvlOverride w:ilvl="6"/>
    <w:lvlOverride w:ilvl="7"/>
    <w:lvlOverride w:ilvl="8"/>
  </w:num>
  <w:num w:numId="36">
    <w:abstractNumId w:val="50"/>
  </w:num>
  <w:num w:numId="37">
    <w:abstractNumId w:val="40"/>
    <w:lvlOverride w:ilvl="0">
      <w:startOverride w:val="1"/>
    </w:lvlOverride>
    <w:lvlOverride w:ilvl="1"/>
    <w:lvlOverride w:ilvl="2"/>
    <w:lvlOverride w:ilvl="3"/>
    <w:lvlOverride w:ilvl="4"/>
    <w:lvlOverride w:ilvl="5"/>
    <w:lvlOverride w:ilvl="6"/>
    <w:lvlOverride w:ilvl="7"/>
    <w:lvlOverride w:ilvl="8"/>
  </w:num>
  <w:num w:numId="38">
    <w:abstractNumId w:val="51"/>
  </w:num>
  <w:num w:numId="39">
    <w:abstractNumId w:val="36"/>
  </w:num>
  <w:num w:numId="40">
    <w:abstractNumId w:val="43"/>
  </w:num>
  <w:num w:numId="41">
    <w:abstractNumId w:val="47"/>
  </w:num>
  <w:num w:numId="42">
    <w:abstractNumId w:val="29"/>
  </w:num>
  <w:num w:numId="43">
    <w:abstractNumId w:val="17"/>
  </w:num>
  <w:num w:numId="44">
    <w:abstractNumId w:val="8"/>
  </w:num>
  <w:num w:numId="45">
    <w:abstractNumId w:val="13"/>
  </w:num>
  <w:num w:numId="46">
    <w:abstractNumId w:val="9"/>
  </w:num>
  <w:num w:numId="47">
    <w:abstractNumId w:val="15"/>
  </w:num>
  <w:num w:numId="48">
    <w:abstractNumId w:val="32"/>
    <w:lvlOverride w:ilvl="0">
      <w:startOverride w:val="11"/>
    </w:lvlOverride>
  </w:num>
  <w:num w:numId="49">
    <w:abstractNumId w:val="32"/>
    <w:lvlOverride w:ilvl="0">
      <w:startOverride w:val="8"/>
    </w:lvlOverride>
  </w:num>
  <w:num w:numId="50">
    <w:abstractNumId w:val="4"/>
  </w:num>
  <w:num w:numId="51">
    <w:abstractNumId w:val="19"/>
  </w:num>
  <w:num w:numId="52">
    <w:abstractNumId w:val="33"/>
  </w:num>
  <w:num w:numId="53">
    <w:abstractNumId w:val="33"/>
  </w:num>
  <w:num w:numId="54">
    <w:abstractNumId w:val="33"/>
    <w:lvlOverride w:ilvl="0">
      <w:startOverride w:val="9"/>
    </w:lvlOverride>
  </w:num>
  <w:num w:numId="55">
    <w:abstractNumId w:val="27"/>
  </w:num>
  <w:num w:numId="56">
    <w:abstractNumId w:val="12"/>
  </w:num>
  <w:num w:numId="57">
    <w:abstractNumId w:val="33"/>
    <w:lvlOverride w:ilvl="0">
      <w:startOverride w:val="17"/>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8B4"/>
    <w:rsid w:val="00001964"/>
    <w:rsid w:val="00012DA6"/>
    <w:rsid w:val="00014FAB"/>
    <w:rsid w:val="00027426"/>
    <w:rsid w:val="00032013"/>
    <w:rsid w:val="00035BA9"/>
    <w:rsid w:val="00050165"/>
    <w:rsid w:val="0005526D"/>
    <w:rsid w:val="00061DA3"/>
    <w:rsid w:val="00066C31"/>
    <w:rsid w:val="00095189"/>
    <w:rsid w:val="000A70F7"/>
    <w:rsid w:val="000B08FA"/>
    <w:rsid w:val="000B0951"/>
    <w:rsid w:val="000B32A6"/>
    <w:rsid w:val="000B3FB6"/>
    <w:rsid w:val="000B76A1"/>
    <w:rsid w:val="000D18B4"/>
    <w:rsid w:val="000D28C0"/>
    <w:rsid w:val="000E1632"/>
    <w:rsid w:val="000E38C5"/>
    <w:rsid w:val="000E5CD9"/>
    <w:rsid w:val="000F4A59"/>
    <w:rsid w:val="001005E0"/>
    <w:rsid w:val="00106F96"/>
    <w:rsid w:val="00107328"/>
    <w:rsid w:val="0010732F"/>
    <w:rsid w:val="00111753"/>
    <w:rsid w:val="00120234"/>
    <w:rsid w:val="00120FF7"/>
    <w:rsid w:val="00145A09"/>
    <w:rsid w:val="001478AB"/>
    <w:rsid w:val="00157D8B"/>
    <w:rsid w:val="0016372C"/>
    <w:rsid w:val="00165750"/>
    <w:rsid w:val="00174E44"/>
    <w:rsid w:val="00175941"/>
    <w:rsid w:val="00180094"/>
    <w:rsid w:val="001837C6"/>
    <w:rsid w:val="001A72FC"/>
    <w:rsid w:val="001B26F3"/>
    <w:rsid w:val="001B2EE9"/>
    <w:rsid w:val="001B757F"/>
    <w:rsid w:val="001C475E"/>
    <w:rsid w:val="001C70ED"/>
    <w:rsid w:val="001D1C56"/>
    <w:rsid w:val="001D26C0"/>
    <w:rsid w:val="001D4AA0"/>
    <w:rsid w:val="001F3BC9"/>
    <w:rsid w:val="001F5C15"/>
    <w:rsid w:val="002041A3"/>
    <w:rsid w:val="002042A1"/>
    <w:rsid w:val="00215726"/>
    <w:rsid w:val="00221A15"/>
    <w:rsid w:val="002262A2"/>
    <w:rsid w:val="00230069"/>
    <w:rsid w:val="0024244E"/>
    <w:rsid w:val="00244CC3"/>
    <w:rsid w:val="00245F3D"/>
    <w:rsid w:val="00272A05"/>
    <w:rsid w:val="00276720"/>
    <w:rsid w:val="00277C98"/>
    <w:rsid w:val="0028438A"/>
    <w:rsid w:val="002973CF"/>
    <w:rsid w:val="002A0A3C"/>
    <w:rsid w:val="002B6768"/>
    <w:rsid w:val="002C34EC"/>
    <w:rsid w:val="002C458D"/>
    <w:rsid w:val="002C521F"/>
    <w:rsid w:val="002C749D"/>
    <w:rsid w:val="002D4B1E"/>
    <w:rsid w:val="002D5B75"/>
    <w:rsid w:val="002F6CAE"/>
    <w:rsid w:val="00300EB9"/>
    <w:rsid w:val="0031439E"/>
    <w:rsid w:val="00314966"/>
    <w:rsid w:val="003229C5"/>
    <w:rsid w:val="00322FA5"/>
    <w:rsid w:val="00325BC5"/>
    <w:rsid w:val="0032726A"/>
    <w:rsid w:val="003277FC"/>
    <w:rsid w:val="00330332"/>
    <w:rsid w:val="00365383"/>
    <w:rsid w:val="0037099E"/>
    <w:rsid w:val="00376405"/>
    <w:rsid w:val="00390491"/>
    <w:rsid w:val="00396DF9"/>
    <w:rsid w:val="003A0BCB"/>
    <w:rsid w:val="003B3DD6"/>
    <w:rsid w:val="003B67DB"/>
    <w:rsid w:val="003C5BC1"/>
    <w:rsid w:val="003D01E2"/>
    <w:rsid w:val="003D11D1"/>
    <w:rsid w:val="003D53D9"/>
    <w:rsid w:val="003D64E0"/>
    <w:rsid w:val="003D6CCA"/>
    <w:rsid w:val="003F3DF8"/>
    <w:rsid w:val="00401E97"/>
    <w:rsid w:val="00402607"/>
    <w:rsid w:val="00410AA2"/>
    <w:rsid w:val="00422C57"/>
    <w:rsid w:val="0042333E"/>
    <w:rsid w:val="00424186"/>
    <w:rsid w:val="0043239E"/>
    <w:rsid w:val="004363AF"/>
    <w:rsid w:val="0044138C"/>
    <w:rsid w:val="00443AFD"/>
    <w:rsid w:val="004461D0"/>
    <w:rsid w:val="00452191"/>
    <w:rsid w:val="004607C2"/>
    <w:rsid w:val="00460E8D"/>
    <w:rsid w:val="00461E39"/>
    <w:rsid w:val="00466E5B"/>
    <w:rsid w:val="00467737"/>
    <w:rsid w:val="00467E94"/>
    <w:rsid w:val="0047477F"/>
    <w:rsid w:val="004A13C0"/>
    <w:rsid w:val="004A538D"/>
    <w:rsid w:val="004A5506"/>
    <w:rsid w:val="004A6337"/>
    <w:rsid w:val="004B1B88"/>
    <w:rsid w:val="004B1F60"/>
    <w:rsid w:val="004B4249"/>
    <w:rsid w:val="004B5A6C"/>
    <w:rsid w:val="004D380D"/>
    <w:rsid w:val="004D576A"/>
    <w:rsid w:val="004E02D9"/>
    <w:rsid w:val="0051190B"/>
    <w:rsid w:val="00520D17"/>
    <w:rsid w:val="0052235C"/>
    <w:rsid w:val="00523B14"/>
    <w:rsid w:val="005265E1"/>
    <w:rsid w:val="00534971"/>
    <w:rsid w:val="00537F92"/>
    <w:rsid w:val="005470FE"/>
    <w:rsid w:val="0054788D"/>
    <w:rsid w:val="00560414"/>
    <w:rsid w:val="00563826"/>
    <w:rsid w:val="0056555B"/>
    <w:rsid w:val="00585838"/>
    <w:rsid w:val="005A27DD"/>
    <w:rsid w:val="005A73B6"/>
    <w:rsid w:val="005B20D0"/>
    <w:rsid w:val="005B2A1C"/>
    <w:rsid w:val="005C0B55"/>
    <w:rsid w:val="005C0CA5"/>
    <w:rsid w:val="005C71ED"/>
    <w:rsid w:val="005E59D0"/>
    <w:rsid w:val="005E5F3F"/>
    <w:rsid w:val="005E5FBD"/>
    <w:rsid w:val="005E71A9"/>
    <w:rsid w:val="005E731B"/>
    <w:rsid w:val="005F236C"/>
    <w:rsid w:val="005F6E9C"/>
    <w:rsid w:val="00610E6C"/>
    <w:rsid w:val="0061268B"/>
    <w:rsid w:val="00613F59"/>
    <w:rsid w:val="00614830"/>
    <w:rsid w:val="00656626"/>
    <w:rsid w:val="0066443E"/>
    <w:rsid w:val="006768C9"/>
    <w:rsid w:val="00685F86"/>
    <w:rsid w:val="0068678F"/>
    <w:rsid w:val="0068700E"/>
    <w:rsid w:val="00687036"/>
    <w:rsid w:val="00691F5C"/>
    <w:rsid w:val="00694F48"/>
    <w:rsid w:val="006B319E"/>
    <w:rsid w:val="006B7CE7"/>
    <w:rsid w:val="006D4B2F"/>
    <w:rsid w:val="006E1AC2"/>
    <w:rsid w:val="006E46B1"/>
    <w:rsid w:val="006E7447"/>
    <w:rsid w:val="006F275A"/>
    <w:rsid w:val="0070017C"/>
    <w:rsid w:val="00716820"/>
    <w:rsid w:val="00721003"/>
    <w:rsid w:val="00732F69"/>
    <w:rsid w:val="00740A80"/>
    <w:rsid w:val="00743207"/>
    <w:rsid w:val="00743BB5"/>
    <w:rsid w:val="007463EE"/>
    <w:rsid w:val="00751207"/>
    <w:rsid w:val="00756053"/>
    <w:rsid w:val="00756AA9"/>
    <w:rsid w:val="00757D59"/>
    <w:rsid w:val="00772FAE"/>
    <w:rsid w:val="007769BD"/>
    <w:rsid w:val="00780D64"/>
    <w:rsid w:val="00787482"/>
    <w:rsid w:val="00793951"/>
    <w:rsid w:val="00794231"/>
    <w:rsid w:val="00796DB1"/>
    <w:rsid w:val="007B1A91"/>
    <w:rsid w:val="007B687F"/>
    <w:rsid w:val="007C01FF"/>
    <w:rsid w:val="007C33EA"/>
    <w:rsid w:val="007D216A"/>
    <w:rsid w:val="007D39E5"/>
    <w:rsid w:val="007E5E1C"/>
    <w:rsid w:val="007F3044"/>
    <w:rsid w:val="007F4C95"/>
    <w:rsid w:val="008057D1"/>
    <w:rsid w:val="00816113"/>
    <w:rsid w:val="00816EB0"/>
    <w:rsid w:val="00820C10"/>
    <w:rsid w:val="0082283B"/>
    <w:rsid w:val="00825032"/>
    <w:rsid w:val="008421E9"/>
    <w:rsid w:val="0085565D"/>
    <w:rsid w:val="0086453F"/>
    <w:rsid w:val="00867EE6"/>
    <w:rsid w:val="008764AB"/>
    <w:rsid w:val="0088254E"/>
    <w:rsid w:val="008A1080"/>
    <w:rsid w:val="008C21CD"/>
    <w:rsid w:val="008C22AB"/>
    <w:rsid w:val="008C501E"/>
    <w:rsid w:val="008D483C"/>
    <w:rsid w:val="008D48F6"/>
    <w:rsid w:val="008F273C"/>
    <w:rsid w:val="00901E79"/>
    <w:rsid w:val="00911F41"/>
    <w:rsid w:val="0092676B"/>
    <w:rsid w:val="00934816"/>
    <w:rsid w:val="0093560A"/>
    <w:rsid w:val="00941E9A"/>
    <w:rsid w:val="00953C30"/>
    <w:rsid w:val="009555A5"/>
    <w:rsid w:val="0096070A"/>
    <w:rsid w:val="00960984"/>
    <w:rsid w:val="00966C8D"/>
    <w:rsid w:val="0099076D"/>
    <w:rsid w:val="009B729C"/>
    <w:rsid w:val="009B79C4"/>
    <w:rsid w:val="009C7CF0"/>
    <w:rsid w:val="009D0764"/>
    <w:rsid w:val="009D21B0"/>
    <w:rsid w:val="009D79FA"/>
    <w:rsid w:val="009F5A75"/>
    <w:rsid w:val="00A07614"/>
    <w:rsid w:val="00A13069"/>
    <w:rsid w:val="00A14616"/>
    <w:rsid w:val="00A16579"/>
    <w:rsid w:val="00A31495"/>
    <w:rsid w:val="00A32F10"/>
    <w:rsid w:val="00A53B2E"/>
    <w:rsid w:val="00A54C64"/>
    <w:rsid w:val="00A55CA2"/>
    <w:rsid w:val="00A63C60"/>
    <w:rsid w:val="00A64891"/>
    <w:rsid w:val="00A82B88"/>
    <w:rsid w:val="00A958ED"/>
    <w:rsid w:val="00AB0488"/>
    <w:rsid w:val="00AB21C2"/>
    <w:rsid w:val="00AB588E"/>
    <w:rsid w:val="00AC38B5"/>
    <w:rsid w:val="00AD39C2"/>
    <w:rsid w:val="00AE54F8"/>
    <w:rsid w:val="00B021F2"/>
    <w:rsid w:val="00B04CCA"/>
    <w:rsid w:val="00B067D7"/>
    <w:rsid w:val="00B124AB"/>
    <w:rsid w:val="00B27575"/>
    <w:rsid w:val="00B34F0D"/>
    <w:rsid w:val="00B435B7"/>
    <w:rsid w:val="00B43EDE"/>
    <w:rsid w:val="00B57788"/>
    <w:rsid w:val="00B64E80"/>
    <w:rsid w:val="00B64ED6"/>
    <w:rsid w:val="00B658A4"/>
    <w:rsid w:val="00B75AAD"/>
    <w:rsid w:val="00B81726"/>
    <w:rsid w:val="00B95C0F"/>
    <w:rsid w:val="00BA0501"/>
    <w:rsid w:val="00BA3344"/>
    <w:rsid w:val="00BA4148"/>
    <w:rsid w:val="00BA562C"/>
    <w:rsid w:val="00BB0369"/>
    <w:rsid w:val="00BB1BF5"/>
    <w:rsid w:val="00BB210F"/>
    <w:rsid w:val="00BB75B0"/>
    <w:rsid w:val="00BC66AD"/>
    <w:rsid w:val="00BD2409"/>
    <w:rsid w:val="00BD52A9"/>
    <w:rsid w:val="00BE2577"/>
    <w:rsid w:val="00BE5E94"/>
    <w:rsid w:val="00BF03BC"/>
    <w:rsid w:val="00C0171C"/>
    <w:rsid w:val="00C040CA"/>
    <w:rsid w:val="00C14929"/>
    <w:rsid w:val="00C21444"/>
    <w:rsid w:val="00C32322"/>
    <w:rsid w:val="00C36546"/>
    <w:rsid w:val="00C403AF"/>
    <w:rsid w:val="00C445FC"/>
    <w:rsid w:val="00C453AE"/>
    <w:rsid w:val="00C625F7"/>
    <w:rsid w:val="00C6278D"/>
    <w:rsid w:val="00C67EB1"/>
    <w:rsid w:val="00C756EE"/>
    <w:rsid w:val="00C9700B"/>
    <w:rsid w:val="00CA07D3"/>
    <w:rsid w:val="00CA0B95"/>
    <w:rsid w:val="00CB3B46"/>
    <w:rsid w:val="00CB5B98"/>
    <w:rsid w:val="00CD2469"/>
    <w:rsid w:val="00CD2F38"/>
    <w:rsid w:val="00CD522B"/>
    <w:rsid w:val="00CD5879"/>
    <w:rsid w:val="00CF22B7"/>
    <w:rsid w:val="00CF350D"/>
    <w:rsid w:val="00CF53F0"/>
    <w:rsid w:val="00D02B00"/>
    <w:rsid w:val="00D047FC"/>
    <w:rsid w:val="00D061C0"/>
    <w:rsid w:val="00D17EA4"/>
    <w:rsid w:val="00D314B5"/>
    <w:rsid w:val="00D40DCE"/>
    <w:rsid w:val="00D41088"/>
    <w:rsid w:val="00D52E28"/>
    <w:rsid w:val="00D62BA0"/>
    <w:rsid w:val="00D64EDF"/>
    <w:rsid w:val="00D724D5"/>
    <w:rsid w:val="00D72553"/>
    <w:rsid w:val="00D81013"/>
    <w:rsid w:val="00D86FBC"/>
    <w:rsid w:val="00DA5746"/>
    <w:rsid w:val="00DB110A"/>
    <w:rsid w:val="00DC7291"/>
    <w:rsid w:val="00DD1AC9"/>
    <w:rsid w:val="00DD21D0"/>
    <w:rsid w:val="00DD651C"/>
    <w:rsid w:val="00DD659E"/>
    <w:rsid w:val="00DE16E5"/>
    <w:rsid w:val="00DE2091"/>
    <w:rsid w:val="00DE2B52"/>
    <w:rsid w:val="00DE3E60"/>
    <w:rsid w:val="00E132BF"/>
    <w:rsid w:val="00E13C87"/>
    <w:rsid w:val="00E27003"/>
    <w:rsid w:val="00E2759B"/>
    <w:rsid w:val="00E3219B"/>
    <w:rsid w:val="00E338E7"/>
    <w:rsid w:val="00E344C0"/>
    <w:rsid w:val="00E34B27"/>
    <w:rsid w:val="00E4297C"/>
    <w:rsid w:val="00E42B48"/>
    <w:rsid w:val="00E44D25"/>
    <w:rsid w:val="00E6266F"/>
    <w:rsid w:val="00E65D0A"/>
    <w:rsid w:val="00E66302"/>
    <w:rsid w:val="00E6679A"/>
    <w:rsid w:val="00E80CFD"/>
    <w:rsid w:val="00E8280F"/>
    <w:rsid w:val="00E876FA"/>
    <w:rsid w:val="00E91150"/>
    <w:rsid w:val="00E960F3"/>
    <w:rsid w:val="00EA19D6"/>
    <w:rsid w:val="00EA5C86"/>
    <w:rsid w:val="00EB3F96"/>
    <w:rsid w:val="00EF4132"/>
    <w:rsid w:val="00F07353"/>
    <w:rsid w:val="00F10EBB"/>
    <w:rsid w:val="00F11688"/>
    <w:rsid w:val="00F2302A"/>
    <w:rsid w:val="00F36461"/>
    <w:rsid w:val="00F50DD4"/>
    <w:rsid w:val="00F52096"/>
    <w:rsid w:val="00F53E3B"/>
    <w:rsid w:val="00F749A7"/>
    <w:rsid w:val="00F80841"/>
    <w:rsid w:val="00F80AD5"/>
    <w:rsid w:val="00F85BB4"/>
    <w:rsid w:val="00F930B9"/>
    <w:rsid w:val="00FA02ED"/>
    <w:rsid w:val="00FA04C4"/>
    <w:rsid w:val="00FA525D"/>
    <w:rsid w:val="00FB0F08"/>
    <w:rsid w:val="00FB58D6"/>
    <w:rsid w:val="00FB7882"/>
    <w:rsid w:val="00FC0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6F6D5C"/>
  <w15:docId w15:val="{F45FF39B-ECF2-4E60-84EC-B0C5AAB6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FB6"/>
    <w:pPr>
      <w:spacing w:after="160" w:line="259" w:lineRule="auto"/>
    </w:pPr>
  </w:style>
  <w:style w:type="paragraph" w:styleId="Heading1">
    <w:name w:val="heading 1"/>
    <w:basedOn w:val="Normal"/>
    <w:next w:val="Normal"/>
    <w:link w:val="Heading1Char"/>
    <w:uiPriority w:val="9"/>
    <w:qFormat/>
    <w:rsid w:val="000D18B4"/>
    <w:pPr>
      <w:keepNext/>
      <w:keepLines/>
      <w:numPr>
        <w:numId w:val="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D18B4"/>
    <w:pPr>
      <w:keepNext/>
      <w:keepLines/>
      <w:numPr>
        <w:ilvl w:val="1"/>
        <w:numId w:val="4"/>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18B4"/>
    <w:pPr>
      <w:keepNext/>
      <w:keepLines/>
      <w:numPr>
        <w:ilvl w:val="2"/>
        <w:numId w:val="4"/>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0D18B4"/>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D18B4"/>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D18B4"/>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D18B4"/>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D18B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18B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18B4"/>
    <w:rPr>
      <w:color w:val="0000FF" w:themeColor="hyperlink"/>
      <w:u w:val="single"/>
    </w:rPr>
  </w:style>
  <w:style w:type="character" w:customStyle="1" w:styleId="Heading1Char">
    <w:name w:val="Heading 1 Char"/>
    <w:basedOn w:val="DefaultParagraphFont"/>
    <w:link w:val="Heading1"/>
    <w:uiPriority w:val="9"/>
    <w:rsid w:val="000D18B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D18B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D18B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0D18B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D18B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D18B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D18B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D18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18B4"/>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0D18B4"/>
    <w:pPr>
      <w:ind w:left="720"/>
      <w:contextualSpacing/>
    </w:pPr>
  </w:style>
  <w:style w:type="character" w:styleId="FollowedHyperlink">
    <w:name w:val="FollowedHyperlink"/>
    <w:basedOn w:val="DefaultParagraphFont"/>
    <w:uiPriority w:val="99"/>
    <w:semiHidden/>
    <w:unhideWhenUsed/>
    <w:rsid w:val="000D18B4"/>
    <w:rPr>
      <w:color w:val="800080" w:themeColor="followedHyperlink"/>
      <w:u w:val="single"/>
    </w:rPr>
  </w:style>
  <w:style w:type="paragraph" w:styleId="FootnoteText">
    <w:name w:val="footnote text"/>
    <w:basedOn w:val="Normal"/>
    <w:link w:val="FootnoteTextChar"/>
    <w:uiPriority w:val="99"/>
    <w:unhideWhenUsed/>
    <w:rsid w:val="000D18B4"/>
    <w:pPr>
      <w:spacing w:after="0" w:line="240" w:lineRule="auto"/>
    </w:pPr>
    <w:rPr>
      <w:sz w:val="20"/>
      <w:szCs w:val="20"/>
    </w:rPr>
  </w:style>
  <w:style w:type="character" w:customStyle="1" w:styleId="FootnoteTextChar">
    <w:name w:val="Footnote Text Char"/>
    <w:basedOn w:val="DefaultParagraphFont"/>
    <w:link w:val="FootnoteText"/>
    <w:uiPriority w:val="99"/>
    <w:rsid w:val="000D18B4"/>
    <w:rPr>
      <w:sz w:val="20"/>
      <w:szCs w:val="20"/>
    </w:rPr>
  </w:style>
  <w:style w:type="character" w:styleId="FootnoteReference">
    <w:name w:val="footnote reference"/>
    <w:basedOn w:val="DefaultParagraphFont"/>
    <w:uiPriority w:val="99"/>
    <w:unhideWhenUsed/>
    <w:rsid w:val="000D18B4"/>
    <w:rPr>
      <w:vertAlign w:val="superscript"/>
    </w:rPr>
  </w:style>
  <w:style w:type="paragraph" w:styleId="Header">
    <w:name w:val="header"/>
    <w:basedOn w:val="Normal"/>
    <w:link w:val="HeaderChar"/>
    <w:uiPriority w:val="99"/>
    <w:unhideWhenUsed/>
    <w:rsid w:val="000D1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8B4"/>
  </w:style>
  <w:style w:type="paragraph" w:styleId="Footer">
    <w:name w:val="footer"/>
    <w:basedOn w:val="Normal"/>
    <w:link w:val="FooterChar"/>
    <w:uiPriority w:val="99"/>
    <w:unhideWhenUsed/>
    <w:rsid w:val="000D1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8B4"/>
  </w:style>
  <w:style w:type="paragraph" w:customStyle="1" w:styleId="Copyrightbodytext">
    <w:name w:val="Copyright bodytext"/>
    <w:basedOn w:val="BodyText"/>
    <w:link w:val="CopyrightbodytextChar"/>
    <w:qFormat/>
    <w:rsid w:val="000D18B4"/>
    <w:pPr>
      <w:spacing w:before="60" w:after="0" w:line="300" w:lineRule="atLeast"/>
      <w:jc w:val="both"/>
    </w:pPr>
    <w:rPr>
      <w:rFonts w:ascii="Times New Roman" w:eastAsia="Times New Roman" w:hAnsi="Times New Roman" w:cs="Times New Roman"/>
      <w:sz w:val="20"/>
      <w:szCs w:val="20"/>
      <w:lang w:eastAsia="en-AU"/>
    </w:rPr>
  </w:style>
  <w:style w:type="character" w:customStyle="1" w:styleId="CopyrightbodytextChar">
    <w:name w:val="Copyright bodytext Char"/>
    <w:basedOn w:val="BodyTextChar"/>
    <w:link w:val="Copyrightbodytext"/>
    <w:rsid w:val="000D18B4"/>
    <w:rPr>
      <w:rFonts w:ascii="Times New Roman" w:eastAsia="Times New Roman" w:hAnsi="Times New Roman" w:cs="Times New Roman"/>
      <w:sz w:val="20"/>
      <w:szCs w:val="20"/>
      <w:lang w:eastAsia="en-AU"/>
    </w:rPr>
  </w:style>
  <w:style w:type="paragraph" w:styleId="BodyText">
    <w:name w:val="Body Text"/>
    <w:basedOn w:val="Normal"/>
    <w:link w:val="BodyTextChar"/>
    <w:uiPriority w:val="99"/>
    <w:semiHidden/>
    <w:unhideWhenUsed/>
    <w:rsid w:val="000D18B4"/>
    <w:pPr>
      <w:spacing w:after="120"/>
    </w:pPr>
  </w:style>
  <w:style w:type="character" w:customStyle="1" w:styleId="BodyTextChar">
    <w:name w:val="Body Text Char"/>
    <w:basedOn w:val="DefaultParagraphFont"/>
    <w:link w:val="BodyText"/>
    <w:uiPriority w:val="99"/>
    <w:semiHidden/>
    <w:rsid w:val="000D18B4"/>
  </w:style>
  <w:style w:type="paragraph" w:styleId="TOC2">
    <w:name w:val="toc 2"/>
    <w:basedOn w:val="Normal"/>
    <w:next w:val="Normal"/>
    <w:autoRedefine/>
    <w:uiPriority w:val="39"/>
    <w:unhideWhenUsed/>
    <w:rsid w:val="00A63C60"/>
    <w:pPr>
      <w:tabs>
        <w:tab w:val="left" w:pos="880"/>
        <w:tab w:val="right" w:leader="dot" w:pos="9322"/>
      </w:tabs>
      <w:spacing w:after="100"/>
      <w:ind w:left="220"/>
    </w:pPr>
  </w:style>
  <w:style w:type="paragraph" w:styleId="BalloonText">
    <w:name w:val="Balloon Text"/>
    <w:basedOn w:val="Normal"/>
    <w:link w:val="BalloonTextChar"/>
    <w:uiPriority w:val="99"/>
    <w:semiHidden/>
    <w:unhideWhenUsed/>
    <w:rsid w:val="000D1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8B4"/>
    <w:rPr>
      <w:rFonts w:ascii="Segoe UI" w:hAnsi="Segoe UI" w:cs="Segoe UI"/>
      <w:sz w:val="18"/>
      <w:szCs w:val="18"/>
    </w:rPr>
  </w:style>
  <w:style w:type="character" w:styleId="CommentReference">
    <w:name w:val="annotation reference"/>
    <w:basedOn w:val="DefaultParagraphFont"/>
    <w:uiPriority w:val="99"/>
    <w:semiHidden/>
    <w:unhideWhenUsed/>
    <w:rsid w:val="000D18B4"/>
    <w:rPr>
      <w:sz w:val="16"/>
      <w:szCs w:val="16"/>
    </w:rPr>
  </w:style>
  <w:style w:type="paragraph" w:styleId="CommentText">
    <w:name w:val="annotation text"/>
    <w:basedOn w:val="Normal"/>
    <w:link w:val="CommentTextChar"/>
    <w:uiPriority w:val="99"/>
    <w:semiHidden/>
    <w:unhideWhenUsed/>
    <w:rsid w:val="000D18B4"/>
    <w:pPr>
      <w:spacing w:line="240" w:lineRule="auto"/>
    </w:pPr>
    <w:rPr>
      <w:sz w:val="20"/>
      <w:szCs w:val="20"/>
    </w:rPr>
  </w:style>
  <w:style w:type="character" w:customStyle="1" w:styleId="CommentTextChar">
    <w:name w:val="Comment Text Char"/>
    <w:basedOn w:val="DefaultParagraphFont"/>
    <w:link w:val="CommentText"/>
    <w:uiPriority w:val="99"/>
    <w:semiHidden/>
    <w:rsid w:val="000D18B4"/>
    <w:rPr>
      <w:sz w:val="20"/>
      <w:szCs w:val="20"/>
    </w:rPr>
  </w:style>
  <w:style w:type="paragraph" w:styleId="CommentSubject">
    <w:name w:val="annotation subject"/>
    <w:basedOn w:val="CommentText"/>
    <w:next w:val="CommentText"/>
    <w:link w:val="CommentSubjectChar"/>
    <w:uiPriority w:val="99"/>
    <w:semiHidden/>
    <w:unhideWhenUsed/>
    <w:rsid w:val="000D18B4"/>
    <w:rPr>
      <w:b/>
      <w:bCs/>
    </w:rPr>
  </w:style>
  <w:style w:type="character" w:customStyle="1" w:styleId="CommentSubjectChar">
    <w:name w:val="Comment Subject Char"/>
    <w:basedOn w:val="CommentTextChar"/>
    <w:link w:val="CommentSubject"/>
    <w:uiPriority w:val="99"/>
    <w:semiHidden/>
    <w:rsid w:val="000D18B4"/>
    <w:rPr>
      <w:b/>
      <w:bCs/>
      <w:sz w:val="20"/>
      <w:szCs w:val="20"/>
    </w:rPr>
  </w:style>
  <w:style w:type="paragraph" w:customStyle="1" w:styleId="DecimalAligned">
    <w:name w:val="Decimal Aligned"/>
    <w:basedOn w:val="Normal"/>
    <w:uiPriority w:val="40"/>
    <w:qFormat/>
    <w:rsid w:val="000D18B4"/>
    <w:pPr>
      <w:tabs>
        <w:tab w:val="decimal" w:pos="360"/>
      </w:tabs>
      <w:spacing w:after="200" w:line="276" w:lineRule="auto"/>
    </w:pPr>
    <w:rPr>
      <w:lang w:val="en-US" w:eastAsia="ja-JP"/>
    </w:rPr>
  </w:style>
  <w:style w:type="character" w:styleId="SubtleEmphasis">
    <w:name w:val="Subtle Emphasis"/>
    <w:basedOn w:val="DefaultParagraphFont"/>
    <w:uiPriority w:val="19"/>
    <w:qFormat/>
    <w:rsid w:val="000D18B4"/>
    <w:rPr>
      <w:i/>
      <w:iCs/>
      <w:color w:val="7F7F7F" w:themeColor="text1" w:themeTint="80"/>
    </w:rPr>
  </w:style>
  <w:style w:type="table" w:styleId="LightShading-Accent1">
    <w:name w:val="Light Shading Accent 1"/>
    <w:basedOn w:val="TableNormal"/>
    <w:uiPriority w:val="60"/>
    <w:rsid w:val="000D18B4"/>
    <w:pPr>
      <w:spacing w:after="0" w:line="240" w:lineRule="auto"/>
    </w:pPr>
    <w:rPr>
      <w:rFonts w:eastAsiaTheme="minorEastAsia"/>
      <w:color w:val="365F91" w:themeColor="accent1" w:themeShade="BF"/>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0D1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0D18B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0D18B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Recommendation">
    <w:name w:val="Recommendation"/>
    <w:basedOn w:val="Normal"/>
    <w:link w:val="RecommendationChar"/>
    <w:qFormat/>
    <w:rsid w:val="000D18B4"/>
    <w:pPr>
      <w:numPr>
        <w:numId w:val="15"/>
      </w:numPr>
      <w:ind w:left="0" w:firstLine="0"/>
    </w:pPr>
  </w:style>
  <w:style w:type="character" w:customStyle="1" w:styleId="RecommendationChar">
    <w:name w:val="Recommendation Char"/>
    <w:basedOn w:val="DefaultParagraphFont"/>
    <w:link w:val="Recommendation"/>
    <w:rsid w:val="000D18B4"/>
  </w:style>
  <w:style w:type="paragraph" w:customStyle="1" w:styleId="Heading">
    <w:name w:val="Heading"/>
    <w:basedOn w:val="Heading1"/>
    <w:link w:val="HeadingChar"/>
    <w:qFormat/>
    <w:rsid w:val="000D18B4"/>
    <w:pPr>
      <w:numPr>
        <w:numId w:val="0"/>
      </w:numPr>
    </w:pPr>
  </w:style>
  <w:style w:type="paragraph" w:styleId="TOCHeading">
    <w:name w:val="TOC Heading"/>
    <w:basedOn w:val="Heading1"/>
    <w:next w:val="Normal"/>
    <w:uiPriority w:val="39"/>
    <w:unhideWhenUsed/>
    <w:qFormat/>
    <w:rsid w:val="000D18B4"/>
    <w:pPr>
      <w:numPr>
        <w:numId w:val="0"/>
      </w:numPr>
      <w:outlineLvl w:val="9"/>
    </w:pPr>
    <w:rPr>
      <w:lang w:val="en-US"/>
    </w:rPr>
  </w:style>
  <w:style w:type="character" w:customStyle="1" w:styleId="HeadingChar">
    <w:name w:val="Heading Char"/>
    <w:basedOn w:val="Heading1Char"/>
    <w:link w:val="Heading"/>
    <w:rsid w:val="000D18B4"/>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0D18B4"/>
    <w:pPr>
      <w:spacing w:after="100"/>
    </w:pPr>
  </w:style>
  <w:style w:type="paragraph" w:styleId="TOC3">
    <w:name w:val="toc 3"/>
    <w:basedOn w:val="Normal"/>
    <w:next w:val="Normal"/>
    <w:autoRedefine/>
    <w:uiPriority w:val="39"/>
    <w:unhideWhenUsed/>
    <w:rsid w:val="000D18B4"/>
    <w:pPr>
      <w:spacing w:after="100"/>
      <w:ind w:left="440"/>
    </w:pPr>
  </w:style>
  <w:style w:type="paragraph" w:styleId="TOC4">
    <w:name w:val="toc 4"/>
    <w:basedOn w:val="Normal"/>
    <w:next w:val="Normal"/>
    <w:autoRedefine/>
    <w:uiPriority w:val="39"/>
    <w:unhideWhenUsed/>
    <w:rsid w:val="000D18B4"/>
    <w:pPr>
      <w:spacing w:after="100"/>
      <w:ind w:left="660"/>
    </w:pPr>
    <w:rPr>
      <w:rFonts w:eastAsiaTheme="minorEastAsia"/>
      <w:lang w:eastAsia="en-AU"/>
    </w:rPr>
  </w:style>
  <w:style w:type="paragraph" w:styleId="TOC5">
    <w:name w:val="toc 5"/>
    <w:basedOn w:val="Normal"/>
    <w:next w:val="Normal"/>
    <w:autoRedefine/>
    <w:uiPriority w:val="39"/>
    <w:unhideWhenUsed/>
    <w:rsid w:val="000D18B4"/>
    <w:pPr>
      <w:spacing w:after="100"/>
      <w:ind w:left="880"/>
    </w:pPr>
    <w:rPr>
      <w:rFonts w:eastAsiaTheme="minorEastAsia"/>
      <w:lang w:eastAsia="en-AU"/>
    </w:rPr>
  </w:style>
  <w:style w:type="paragraph" w:styleId="TOC6">
    <w:name w:val="toc 6"/>
    <w:basedOn w:val="Normal"/>
    <w:next w:val="Normal"/>
    <w:autoRedefine/>
    <w:uiPriority w:val="39"/>
    <w:unhideWhenUsed/>
    <w:rsid w:val="000D18B4"/>
    <w:pPr>
      <w:spacing w:after="100"/>
      <w:ind w:left="1100"/>
    </w:pPr>
    <w:rPr>
      <w:rFonts w:eastAsiaTheme="minorEastAsia"/>
      <w:lang w:eastAsia="en-AU"/>
    </w:rPr>
  </w:style>
  <w:style w:type="paragraph" w:styleId="TOC7">
    <w:name w:val="toc 7"/>
    <w:basedOn w:val="Normal"/>
    <w:next w:val="Normal"/>
    <w:autoRedefine/>
    <w:uiPriority w:val="39"/>
    <w:unhideWhenUsed/>
    <w:rsid w:val="000D18B4"/>
    <w:pPr>
      <w:spacing w:after="100"/>
      <w:ind w:left="1320"/>
    </w:pPr>
    <w:rPr>
      <w:rFonts w:eastAsiaTheme="minorEastAsia"/>
      <w:lang w:eastAsia="en-AU"/>
    </w:rPr>
  </w:style>
  <w:style w:type="paragraph" w:styleId="TOC8">
    <w:name w:val="toc 8"/>
    <w:basedOn w:val="Normal"/>
    <w:next w:val="Normal"/>
    <w:autoRedefine/>
    <w:uiPriority w:val="39"/>
    <w:unhideWhenUsed/>
    <w:rsid w:val="000D18B4"/>
    <w:pPr>
      <w:spacing w:after="100"/>
      <w:ind w:left="1540"/>
    </w:pPr>
    <w:rPr>
      <w:rFonts w:eastAsiaTheme="minorEastAsia"/>
      <w:lang w:eastAsia="en-AU"/>
    </w:rPr>
  </w:style>
  <w:style w:type="paragraph" w:styleId="TOC9">
    <w:name w:val="toc 9"/>
    <w:basedOn w:val="Normal"/>
    <w:next w:val="Normal"/>
    <w:autoRedefine/>
    <w:uiPriority w:val="39"/>
    <w:unhideWhenUsed/>
    <w:rsid w:val="000D18B4"/>
    <w:pPr>
      <w:spacing w:after="100"/>
      <w:ind w:left="1760"/>
    </w:pPr>
    <w:rPr>
      <w:rFonts w:eastAsiaTheme="minorEastAsia"/>
      <w:lang w:eastAsia="en-AU"/>
    </w:rPr>
  </w:style>
  <w:style w:type="paragraph" w:customStyle="1" w:styleId="Boxheading">
    <w:name w:val="Box heading"/>
    <w:basedOn w:val="Normal"/>
    <w:link w:val="BoxheadingChar"/>
    <w:qFormat/>
    <w:rsid w:val="000D18B4"/>
    <w:pPr>
      <w:keepNext/>
      <w:keepLines/>
      <w:spacing w:before="40" w:after="0" w:line="240" w:lineRule="auto"/>
      <w:outlineLvl w:val="1"/>
    </w:pPr>
    <w:rPr>
      <w:rFonts w:asciiTheme="majorHAnsi" w:eastAsiaTheme="majorEastAsia" w:hAnsiTheme="majorHAnsi" w:cstheme="majorBidi"/>
      <w:b/>
      <w:sz w:val="26"/>
      <w:szCs w:val="26"/>
    </w:rPr>
  </w:style>
  <w:style w:type="character" w:customStyle="1" w:styleId="BoxheadingChar">
    <w:name w:val="Box heading Char"/>
    <w:basedOn w:val="DefaultParagraphFont"/>
    <w:link w:val="Boxheading"/>
    <w:rsid w:val="000D18B4"/>
    <w:rPr>
      <w:rFonts w:asciiTheme="majorHAnsi" w:eastAsiaTheme="majorEastAsia" w:hAnsiTheme="majorHAnsi" w:cstheme="majorBidi"/>
      <w:b/>
      <w:sz w:val="26"/>
      <w:szCs w:val="26"/>
    </w:rPr>
  </w:style>
  <w:style w:type="paragraph" w:styleId="Revision">
    <w:name w:val="Revision"/>
    <w:hidden/>
    <w:uiPriority w:val="99"/>
    <w:semiHidden/>
    <w:rsid w:val="000D18B4"/>
    <w:pPr>
      <w:spacing w:after="0" w:line="240" w:lineRule="auto"/>
    </w:pPr>
  </w:style>
  <w:style w:type="paragraph" w:styleId="NormalWeb">
    <w:name w:val="Normal (Web)"/>
    <w:basedOn w:val="Normal"/>
    <w:uiPriority w:val="99"/>
    <w:semiHidden/>
    <w:unhideWhenUsed/>
    <w:rsid w:val="000D18B4"/>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18B4"/>
    <w:rPr>
      <w:b/>
      <w:bCs/>
    </w:rPr>
  </w:style>
  <w:style w:type="character" w:customStyle="1" w:styleId="apple-converted-space">
    <w:name w:val="apple-converted-space"/>
    <w:basedOn w:val="DefaultParagraphFont"/>
    <w:rsid w:val="000D18B4"/>
  </w:style>
  <w:style w:type="paragraph" w:customStyle="1" w:styleId="yiv7405372026msonormal">
    <w:name w:val="yiv7405372026msonormal"/>
    <w:basedOn w:val="Normal"/>
    <w:rsid w:val="000D18B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autoRedefine/>
    <w:uiPriority w:val="99"/>
    <w:unhideWhenUsed/>
    <w:rsid w:val="00610E6C"/>
    <w:pPr>
      <w:numPr>
        <w:numId w:val="52"/>
      </w:numPr>
      <w:tabs>
        <w:tab w:val="left" w:pos="2118"/>
        <w:tab w:val="right" w:leader="dot" w:pos="9322"/>
      </w:tabs>
      <w:spacing w:line="257" w:lineRule="auto"/>
    </w:pPr>
    <w:rPr>
      <w:color w:val="000000" w:themeColor="text1"/>
    </w:rPr>
  </w:style>
  <w:style w:type="character" w:styleId="Emphasis">
    <w:name w:val="Emphasis"/>
    <w:basedOn w:val="DefaultParagraphFont"/>
    <w:uiPriority w:val="20"/>
    <w:qFormat/>
    <w:rsid w:val="000D18B4"/>
    <w:rPr>
      <w:i/>
      <w:iCs/>
    </w:rPr>
  </w:style>
  <w:style w:type="character" w:customStyle="1" w:styleId="meta">
    <w:name w:val="meta"/>
    <w:basedOn w:val="DefaultParagraphFont"/>
    <w:rsid w:val="000D18B4"/>
  </w:style>
  <w:style w:type="paragraph" w:customStyle="1" w:styleId="List0">
    <w:name w:val="List 0"/>
    <w:basedOn w:val="Normal"/>
    <w:semiHidden/>
    <w:rsid w:val="000D18B4"/>
    <w:pPr>
      <w:numPr>
        <w:numId w:val="26"/>
      </w:numPr>
      <w:spacing w:after="0" w:line="240" w:lineRule="auto"/>
    </w:pPr>
    <w:rPr>
      <w:rFonts w:ascii="Times New Roman" w:eastAsia="Times New Roman" w:hAnsi="Times New Roman" w:cs="Times New Roman"/>
      <w:sz w:val="20"/>
      <w:szCs w:val="20"/>
      <w:lang w:eastAsia="en-AU"/>
    </w:rPr>
  </w:style>
  <w:style w:type="paragraph" w:customStyle="1" w:styleId="CoverSubtitle">
    <w:name w:val="Cover Subtitle"/>
    <w:basedOn w:val="Title"/>
    <w:next w:val="Normal"/>
    <w:uiPriority w:val="99"/>
    <w:rsid w:val="000D18B4"/>
    <w:pPr>
      <w:spacing w:before="0" w:after="2760"/>
    </w:pPr>
    <w:rPr>
      <w:sz w:val="40"/>
    </w:rPr>
  </w:style>
  <w:style w:type="paragraph" w:styleId="Title">
    <w:name w:val="Title"/>
    <w:basedOn w:val="Normal"/>
    <w:next w:val="CoverSubtitle"/>
    <w:link w:val="TitleChar"/>
    <w:uiPriority w:val="99"/>
    <w:rsid w:val="000D18B4"/>
    <w:pPr>
      <w:spacing w:before="240" w:after="60" w:line="276" w:lineRule="auto"/>
    </w:pPr>
    <w:rPr>
      <w:rFonts w:ascii="Arial" w:eastAsiaTheme="majorEastAsia" w:hAnsi="Arial" w:cstheme="majorBidi"/>
      <w:color w:val="1F497D" w:themeColor="text2"/>
      <w:spacing w:val="-5"/>
      <w:sz w:val="56"/>
      <w:szCs w:val="52"/>
    </w:rPr>
  </w:style>
  <w:style w:type="character" w:customStyle="1" w:styleId="TitleChar">
    <w:name w:val="Title Char"/>
    <w:basedOn w:val="DefaultParagraphFont"/>
    <w:link w:val="Title"/>
    <w:uiPriority w:val="99"/>
    <w:rsid w:val="000D18B4"/>
    <w:rPr>
      <w:rFonts w:ascii="Arial" w:eastAsiaTheme="majorEastAsia" w:hAnsi="Arial" w:cstheme="majorBidi"/>
      <w:color w:val="1F497D" w:themeColor="text2"/>
      <w:spacing w:val="-5"/>
      <w:sz w:val="56"/>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764691">
      <w:bodyDiv w:val="1"/>
      <w:marLeft w:val="0"/>
      <w:marRight w:val="0"/>
      <w:marTop w:val="0"/>
      <w:marBottom w:val="0"/>
      <w:divBdr>
        <w:top w:val="none" w:sz="0" w:space="0" w:color="auto"/>
        <w:left w:val="none" w:sz="0" w:space="0" w:color="auto"/>
        <w:bottom w:val="none" w:sz="0" w:space="0" w:color="auto"/>
        <w:right w:val="none" w:sz="0" w:space="0" w:color="auto"/>
      </w:divBdr>
    </w:div>
    <w:div w:id="1253203885">
      <w:bodyDiv w:val="1"/>
      <w:marLeft w:val="0"/>
      <w:marRight w:val="0"/>
      <w:marTop w:val="0"/>
      <w:marBottom w:val="0"/>
      <w:divBdr>
        <w:top w:val="none" w:sz="0" w:space="0" w:color="auto"/>
        <w:left w:val="none" w:sz="0" w:space="0" w:color="auto"/>
        <w:bottom w:val="none" w:sz="0" w:space="0" w:color="auto"/>
        <w:right w:val="none" w:sz="0" w:space="0" w:color="auto"/>
      </w:divBdr>
    </w:div>
    <w:div w:id="1451508083">
      <w:bodyDiv w:val="1"/>
      <w:marLeft w:val="0"/>
      <w:marRight w:val="0"/>
      <w:marTop w:val="0"/>
      <w:marBottom w:val="0"/>
      <w:divBdr>
        <w:top w:val="none" w:sz="0" w:space="0" w:color="auto"/>
        <w:left w:val="none" w:sz="0" w:space="0" w:color="auto"/>
        <w:bottom w:val="none" w:sz="0" w:space="0" w:color="auto"/>
        <w:right w:val="none" w:sz="0" w:space="0" w:color="auto"/>
      </w:divBdr>
    </w:div>
    <w:div w:id="211762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firststopcareadvice.org.uk/" TargetMode="External"/><Relationship Id="rId26" Type="http://schemas.openxmlformats.org/officeDocument/2006/relationships/hyperlink" Target="http://www.pc.gov.au/research/completed/ageing-australia" TargetMode="External"/><Relationship Id="rId39" Type="http://schemas.openxmlformats.org/officeDocument/2006/relationships/hyperlink" Target="http://www.parliament.qld.gov.au/work-of-committees/committees/CDSDFVPC/inquiries/current-inquiries/01TheAdequacySeniors" TargetMode="External"/><Relationship Id="rId21" Type="http://schemas.openxmlformats.org/officeDocument/2006/relationships/hyperlink" Target="http://www.agedcare.org.au/news/copy_of_2014-news/acsa-position-paper-the-future-of-housing-for-older-australians/view" TargetMode="External"/><Relationship Id="rId34" Type="http://schemas.openxmlformats.org/officeDocument/2006/relationships/hyperlink" Target="http://www.pc.gov.au/research/completed/housing-decisions-older-australians" TargetMode="External"/><Relationship Id="rId42" Type="http://schemas.openxmlformats.org/officeDocument/2006/relationships/hyperlink" Target="https://www.gov.uk/government/publications/lifetime-neighbourhoods--2" TargetMode="External"/><Relationship Id="rId47" Type="http://schemas.openxmlformats.org/officeDocument/2006/relationships/hyperlink" Target="https://www.qcoss.org.au/sites/default/files/QCOSS_Policy_Position_Nov_2009_Ageing_0.pdf" TargetMode="External"/><Relationship Id="rId50" Type="http://schemas.openxmlformats.org/officeDocument/2006/relationships/hyperlink" Target="http://www.qgso.qld.gov.au/products/reports/qld-seniors/qld-seniors-2013-14.pdf" TargetMode="External"/><Relationship Id="rId55" Type="http://schemas.openxmlformats.org/officeDocument/2006/relationships/hyperlink" Target="http://www.aph.gov.au/Parliamentary_Business/Committees/Senate/Economics/Affordable_housing_2013/Report" TargetMode="External"/><Relationship Id="rId63" Type="http://schemas.openxmlformats.org/officeDocument/2006/relationships/hyperlink" Target="http://www.ahuri.edu.au/research/final-reports/214" TargetMode="External"/><Relationship Id="rId68" Type="http://schemas.openxmlformats.org/officeDocument/2006/relationships/hyperlink" Target="http://www.ownnsw.org.au/it-could-be-you/" TargetMode="External"/><Relationship Id="rId76" Type="http://schemas.openxmlformats.org/officeDocument/2006/relationships/hyperlink" Target="http://doi.org/10.1002/ad.1728"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bc.net.au/cm/lb/4895944/data/addressing-later-life-homelessness-data.pdf"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humanrights.gov.au/sites/default/files/document/publication/hiddenbarrier2010.pdf" TargetMode="External"/><Relationship Id="rId11" Type="http://schemas.openxmlformats.org/officeDocument/2006/relationships/image" Target="media/image2.jpeg"/><Relationship Id="rId24" Type="http://schemas.openxmlformats.org/officeDocument/2006/relationships/hyperlink" Target="http://ruralhealth.org.au/document/snapshot-poverty-rural-and-regional-australia" TargetMode="External"/><Relationship Id="rId32" Type="http://schemas.openxmlformats.org/officeDocument/2006/relationships/hyperlink" Target="http://www.aihw.gov.au/indigenous-observatory/reports/housing-circumstances/" TargetMode="External"/><Relationship Id="rId37" Type="http://schemas.openxmlformats.org/officeDocument/2006/relationships/hyperlink" Target="http://cotaqld.org.au/wp-content/uploads/2014/02/2013_12_COTA-Qld-Housing-Policy-submission.pdf" TargetMode="External"/><Relationship Id="rId40" Type="http://schemas.openxmlformats.org/officeDocument/2006/relationships/hyperlink" Target="http://www.dss.gov.au/our-responsibilities/review-of-australia-s-welfare-system/a-new-system-for-better-employment-and-social-outcomes-full-version-of-the-interim-report" TargetMode="External"/><Relationship Id="rId45" Type="http://schemas.openxmlformats.org/officeDocument/2006/relationships/hyperlink" Target="http://www.propertycouncil.com.au/Web/Advocacy/Retirement/Web/Advocacy/SectorBasedAdvocacy/Retirement_Living.aspx?hkey=8f5f4aec-3051-4c30-bbd8-2c06fe763e12" TargetMode="External"/><Relationship Id="rId53" Type="http://schemas.openxmlformats.org/officeDocument/2006/relationships/hyperlink" Target="http://www.suncorpgroup.com.au/sites/default/files/pdf/news/Suncorp's%20The%20Grudge%20Years%20Report_FINAL.pdf" TargetMode="External"/><Relationship Id="rId58" Type="http://schemas.openxmlformats.org/officeDocument/2006/relationships/hyperlink" Target="http://www.ahuri.edu.au/publications/projects/p41022" TargetMode="External"/><Relationship Id="rId66" Type="http://schemas.openxmlformats.org/officeDocument/2006/relationships/hyperlink" Target="http://www.ahuri.edu.au/research/final-reports/98" TargetMode="External"/><Relationship Id="rId74" Type="http://schemas.openxmlformats.org/officeDocument/2006/relationships/hyperlink" Target="http://www.treasury.gov.au/PublicationsAndMedia/Publications/2012/housing-in-the-baby-boom-generation" TargetMode="External"/><Relationship Id="rId79" Type="http://schemas.openxmlformats.org/officeDocument/2006/relationships/hyperlink" Target="http://www.hanover.org.au/homelessness-research-reports/ageing-in-what-place-the-experience-of-housing-crisis-and-homelessness-for-older-victorians/" TargetMode="External"/><Relationship Id="rId5" Type="http://schemas.openxmlformats.org/officeDocument/2006/relationships/webSettings" Target="webSettings.xml"/><Relationship Id="rId61" Type="http://schemas.openxmlformats.org/officeDocument/2006/relationships/hyperlink" Target="http://www.tai.org.au/documents/dp_fulltext/DP63.pdf" TargetMode="External"/><Relationship Id="rId82"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www.qgso.qld.gov.au/products/tables/proj-pop-age-group-sex-qld/index.php" TargetMode="External"/><Relationship Id="rId27" Type="http://schemas.openxmlformats.org/officeDocument/2006/relationships/hyperlink" Target="http://www.treasury.gov.au/PublicationsAndMedia/Publications/2013/NHSC" TargetMode="External"/><Relationship Id="rId30" Type="http://schemas.openxmlformats.org/officeDocument/2006/relationships/hyperlink" Target="http://www.aihw.gov.au/indigenous-observatory-homelessness/" TargetMode="External"/><Relationship Id="rId35" Type="http://schemas.openxmlformats.org/officeDocument/2006/relationships/hyperlink" Target="http://reports.helpage.org/global-agewatch-index-2015-insight-report.pdf" TargetMode="External"/><Relationship Id="rId43" Type="http://schemas.openxmlformats.org/officeDocument/2006/relationships/hyperlink" Target="http://www.landcom.com.au/news/publications/healthy-development-brochure/" TargetMode="External"/><Relationship Id="rId48" Type="http://schemas.openxmlformats.org/officeDocument/2006/relationships/hyperlink" Target="http://www.qcoss.org.au/cost-living-and-age-pensioner-households-issue-4" TargetMode="External"/><Relationship Id="rId56" Type="http://schemas.openxmlformats.org/officeDocument/2006/relationships/hyperlink" Target="http://www.urbis.com.au/think-tank/white-papers/does-australia-have-the-right-housing-for-older-people" TargetMode="External"/><Relationship Id="rId64" Type="http://schemas.openxmlformats.org/officeDocument/2006/relationships/hyperlink" Target="https://www.be.unsw.edu.au/sites/default/files/upload/pdf/cf/research/ahuriprojects/theefficienuseofdwellings/FR144.pdf" TargetMode="External"/><Relationship Id="rId69" Type="http://schemas.openxmlformats.org/officeDocument/2006/relationships/hyperlink" Target="http://www.ahuri.edu.au/research/final-reports/88" TargetMode="External"/><Relationship Id="rId77" Type="http://schemas.openxmlformats.org/officeDocument/2006/relationships/hyperlink" Target="http://resources.beyondblue.org.au/prism/file?token=BL/1263A" TargetMode="External"/><Relationship Id="rId8" Type="http://schemas.openxmlformats.org/officeDocument/2006/relationships/footer" Target="footer1.xml"/><Relationship Id="rId51" Type="http://schemas.openxmlformats.org/officeDocument/2006/relationships/hyperlink" Target="http://www.qgso.qld.gov.au/subjects/demography/population-projections" TargetMode="External"/><Relationship Id="rId72" Type="http://schemas.openxmlformats.org/officeDocument/2006/relationships/hyperlink" Target="http://www.mercyfoundation.com.au/latest-news/view_article.cfm?loadref=%208&amp;id=183"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communities.qld.gov.au/resources/communityservices/seniors/qld-an-age-friendly-community.pdf" TargetMode="External"/><Relationship Id="rId25" Type="http://schemas.openxmlformats.org/officeDocument/2006/relationships/hyperlink" Target="http://www.acma.gov.au/~/media/Research%20and%20Analysis/Publication/Comms%20Report%202013%2014/PDF/Communications%20report%20201314_LOW-RES%20FOR%20WEB%20pdf.pdf" TargetMode="External"/><Relationship Id="rId33" Type="http://schemas.openxmlformats.org/officeDocument/2006/relationships/hyperlink" Target="http://www.aihw.gov.au/publication-detail/?id=60129543093" TargetMode="External"/><Relationship Id="rId38" Type="http://schemas.openxmlformats.org/officeDocument/2006/relationships/hyperlink" Target="http://www.cota.org.au/lib/pdf/COTA_Australia/publications/submissions/submission_affordable_housing_2014.pdf" TargetMode="External"/><Relationship Id="rId46" Type="http://schemas.openxmlformats.org/officeDocument/2006/relationships/hyperlink" Target="http://www.retirementliving.org.au/wp-content/uploads/2013/12/5As-of-Retirement-Living-towards-proactive-planning-policy-web.pdf" TargetMode="External"/><Relationship Id="rId59" Type="http://schemas.openxmlformats.org/officeDocument/2006/relationships/hyperlink" Target="http://www.soacconference.com.au/wp-content/uploads/2013/12/Gilbert-Social.pdf" TargetMode="External"/><Relationship Id="rId67" Type="http://schemas.openxmlformats.org/officeDocument/2006/relationships/hyperlink" Target="http://www.ahuri.edu.au/research/final-reports/141" TargetMode="External"/><Relationship Id="rId20" Type="http://schemas.openxmlformats.org/officeDocument/2006/relationships/image" Target="media/image9.jpeg"/><Relationship Id="rId41" Type="http://schemas.openxmlformats.org/officeDocument/2006/relationships/hyperlink" Target="http://servicedelivery.dss.gov.au/2015/03/25/review-of-australian-research-on-older-people-from-culturally-and-linguistically-diverse-backgrounds/" TargetMode="External"/><Relationship Id="rId54" Type="http://schemas.openxmlformats.org/officeDocument/2006/relationships/hyperlink" Target="http://www.sprc.unsw.edu.au/media/SPRCFile/10_Report_BenSoc_ResearchtoPractice4.pdf" TargetMode="External"/><Relationship Id="rId62" Type="http://schemas.openxmlformats.org/officeDocument/2006/relationships/hyperlink" Target="http://www.ahuri.edu.au/research/resources/audio/housing-utilisation-and-downsizing-amongst-older-Australians" TargetMode="External"/><Relationship Id="rId70" Type="http://schemas.openxmlformats.org/officeDocument/2006/relationships/hyperlink" Target="http://www.ahuri.edu.au/research/final-reports/217" TargetMode="External"/><Relationship Id="rId75" Type="http://schemas.openxmlformats.org/officeDocument/2006/relationships/hyperlink" Target="http://researchbank.swinburne.edu.au/vital/access/manager/Repository/swin:24750"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abs.gov.au/ausstats/abs@.nsf/Lookup/2071.0main+features602012-2013" TargetMode="External"/><Relationship Id="rId28" Type="http://schemas.openxmlformats.org/officeDocument/2006/relationships/hyperlink" Target="https://www.humanrights.gov.au/our-work/sex-discrimination/publications/accumulating-poverty-women-s-experiences-inequality-over" TargetMode="External"/><Relationship Id="rId36" Type="http://schemas.openxmlformats.org/officeDocument/2006/relationships/hyperlink" Target="http://www.cepar.edu.au/media/127442/aged_care_in_australia_-_part_i_-_web_version_fin.pdf" TargetMode="External"/><Relationship Id="rId49" Type="http://schemas.openxmlformats.org/officeDocument/2006/relationships/hyperlink" Target="http://www.qgso.qld.gov.au/products/reports/atsi-pop-qld-c11/atsi-pop-qld-c11.pdf" TargetMode="External"/><Relationship Id="rId57" Type="http://schemas.openxmlformats.org/officeDocument/2006/relationships/hyperlink" Target="http://www.usc.edu.au/media/3748/Infill_Development_Report_Part1.pdf" TargetMode="External"/><Relationship Id="rId10" Type="http://schemas.openxmlformats.org/officeDocument/2006/relationships/image" Target="cid:0734DBB2-610C-48CD-B2C4-F60ED1727A6A@iiNet" TargetMode="External"/><Relationship Id="rId31" Type="http://schemas.openxmlformats.org/officeDocument/2006/relationships/hyperlink" Target="http://www.aihw.gov.au/publication-detail/?id=10737418972" TargetMode="External"/><Relationship Id="rId44" Type="http://schemas.openxmlformats.org/officeDocument/2006/relationships/hyperlink" Target="https://www.dss.gov.au/sites/default/files/documents/05_2012/national_dialogue_strategic_plan.pdf" TargetMode="External"/><Relationship Id="rId52" Type="http://schemas.openxmlformats.org/officeDocument/2006/relationships/hyperlink" Target="http://ruralhealth.org.au/sites/default/files/publications/nrha-factsheet-living-longer.pdf" TargetMode="External"/><Relationship Id="rId60" Type="http://schemas.openxmlformats.org/officeDocument/2006/relationships/hyperlink" Target="https://www.dss.gov.au/about-the-department/publications-articles/corporate-publications/budget-and-additional-estimates-statements/pension-review-report" TargetMode="External"/><Relationship Id="rId65" Type="http://schemas.openxmlformats.org/officeDocument/2006/relationships/hyperlink" Target="http://www.be.unsw.edu.au/sites/default/files/upload/research/centres/cf/publications/ahuriprojectreports/AHURI_Positioning_Paper_No150.pdf" TargetMode="External"/><Relationship Id="rId73" Type="http://schemas.openxmlformats.org/officeDocument/2006/relationships/hyperlink" Target="http://www.ahuri.edu.au/research/final-reports/222" TargetMode="External"/><Relationship Id="rId78" Type="http://schemas.openxmlformats.org/officeDocument/2006/relationships/hyperlink" Target="http://www.ahuri.edu.au/research/final-reports/47" TargetMode="External"/><Relationship Id="rId8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rvhomebase.com.au/" TargetMode="External"/><Relationship Id="rId2" Type="http://schemas.openxmlformats.org/officeDocument/2006/relationships/hyperlink" Target="http://www.aihw.gov.au/deaths/life-expectancy/" TargetMode="External"/><Relationship Id="rId1" Type="http://schemas.openxmlformats.org/officeDocument/2006/relationships/hyperlink" Target="https://www.cdc.gov/healthyplaces/terminology.htm" TargetMode="External"/><Relationship Id="rId6" Type="http://schemas.openxmlformats.org/officeDocument/2006/relationships/hyperlink" Target="http://www.who.int/ageing/projects/age_friendly_cities/en/" TargetMode="External"/><Relationship Id="rId5" Type="http://schemas.openxmlformats.org/officeDocument/2006/relationships/hyperlink" Target="https://agedcare.health.gov.au/aged-care-reform/aged-care-roadmap.%202016" TargetMode="External"/><Relationship Id="rId4" Type="http://schemas.openxmlformats.org/officeDocument/2006/relationships/hyperlink" Target="http://www.businessthink.unsw.ed.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389A6-9554-4885-93B6-F3AC1015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23331</Words>
  <Characters>137888</Characters>
  <Application>Microsoft Office Word</Application>
  <DocSecurity>0</DocSecurity>
  <Lines>2337</Lines>
  <Paragraphs>995</Paragraphs>
  <ScaleCrop>false</ScaleCrop>
  <HeadingPairs>
    <vt:vector size="2" baseType="variant">
      <vt:variant>
        <vt:lpstr>Title</vt:lpstr>
      </vt:variant>
      <vt:variant>
        <vt:i4>1</vt:i4>
      </vt:variant>
    </vt:vector>
  </HeadingPairs>
  <TitlesOfParts>
    <vt:vector size="1" baseType="lpstr">
      <vt:lpstr>Residential transition of older Queenslanders</vt:lpstr>
    </vt:vector>
  </TitlesOfParts>
  <Company>Queensland Government</Company>
  <LinksUpToDate>false</LinksUpToDate>
  <CharactersWithSpaces>160224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transition of older Queenslanders</dc:title>
  <dc:subject>Residential transition of older Queenslanders</dc:subject>
  <dc:creator>Queensland Government</dc:creator>
  <cp:keywords>Residential transition of older Queenslanders, advisory task force older Queenslanders</cp:keywords>
  <cp:lastModifiedBy>Vivi Zammit</cp:lastModifiedBy>
  <cp:revision>2</cp:revision>
  <cp:lastPrinted>2016-08-29T05:27:00Z</cp:lastPrinted>
  <dcterms:created xsi:type="dcterms:W3CDTF">2017-07-18T06:41:00Z</dcterms:created>
  <dcterms:modified xsi:type="dcterms:W3CDTF">2017-07-18T06:41:00Z</dcterms:modified>
</cp:coreProperties>
</file>